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8"/>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678"/>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678"/>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678"/>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淮安市港航事业发展中心办公楼电梯采购项目</w:t>
      </w:r>
      <w:r>
        <w:rPr>
          <w:rFonts w:hint="eastAsia" w:ascii="黑体" w:hAnsi="黑体" w:eastAsia="黑体"/>
          <w:b/>
          <w:sz w:val="36"/>
          <w:szCs w:val="36"/>
        </w:rPr>
      </w:r>
      <w:r/>
    </w:p>
    <w:p>
      <w:pPr>
        <w:pStyle w:val="67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67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678"/>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JSZC-320800-JZCG-G2026-0027</w:t>
      </w:r>
      <w:r>
        <w:rPr>
          <w:rFonts w:hint="eastAsia" w:ascii="黑体" w:hAnsi="黑体" w:eastAsia="黑体"/>
          <w:b/>
          <w:sz w:val="36"/>
        </w:rPr>
      </w:r>
      <w:r/>
    </w:p>
    <w:p>
      <w:pPr>
        <w:pStyle w:val="678"/>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678"/>
        <w:keepLines w:val="0"/>
        <w:keepNext w:val="0"/>
        <w:pageBreakBefore w:val="0"/>
        <w:rPr>
          <w:rFonts w:ascii="黑体" w:hAnsi="黑体" w:eastAsia="黑体"/>
          <w:b/>
          <w:sz w:val="32"/>
        </w:rPr>
        <w:outlineLvl w:val="9"/>
      </w:pPr>
      <w:r>
        <w:rPr>
          <w:rFonts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78"/>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678"/>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十一</w:t>
      </w:r>
      <w:r>
        <w:rPr>
          <w:rFonts w:hint="eastAsia" w:ascii="黑体" w:hAnsi="黑体" w:eastAsia="黑体"/>
          <w:b/>
          <w:sz w:val="36"/>
          <w:szCs w:val="36"/>
          <w:lang w:eastAsia="zh-CN"/>
        </w:rPr>
      </w:r>
      <w:r>
        <w:rPr>
          <w:rFonts w:hint="eastAsia" w:ascii="黑体" w:hAnsi="黑体" w:eastAsia="黑体"/>
          <w:b/>
          <w:sz w:val="36"/>
          <w:szCs w:val="36"/>
        </w:rPr>
        <w:t xml:space="preserve">日</w:t>
      </w:r>
      <w:r>
        <w:rPr>
          <w:rFonts w:hint="eastAsia" w:ascii="宋体" w:hAnsi="宋体"/>
          <w:sz w:val="24"/>
        </w:rPr>
      </w:r>
      <w:r/>
    </w:p>
    <w:p>
      <w:pPr>
        <w:pStyle w:val="678"/>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678"/>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受淮安市港航事业发展中心的委托，淮安市政府采购中心就淮安市港航事业发展中心办公楼电梯采购项目政府采购项目进行公开招标采购，现邀请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86245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862455"/>
                        </a:xfrm>
                        <a:prstGeom prst="rect">
                          <a:avLst/>
                        </a:prstGeom>
                        <a:solidFill>
                          <a:srgbClr val="FFFFFF"/>
                        </a:solidFill>
                        <a:ln>
                          <a:solidFill>
                            <a:srgbClr val="000000"/>
                          </a:solidFill>
                        </a:ln>
                      </wps:spPr>
                      <wps:txbx>
                        <w:txbxContent>
                          <w:p>
                            <w:pPr>
                              <w:pStyle w:val="67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淮安市港航事业发展中心办公楼电梯采购项目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年6</w:t>
                            </w:r>
                            <w:r>
                              <w:rPr>
                                <w:rFonts w:hint="eastAsia" w:ascii="仿宋" w:hAnsi="仿宋" w:eastAsia="仿宋"/>
                                <w:sz w:val="28"/>
                                <w:szCs w:val="28"/>
                              </w:rPr>
                              <w:t xml:space="preserve">月1日9点30分（北京时间）前提交投标文件。</w:t>
                            </w:r>
                            <w:r>
                              <w:rPr>
                                <w:rFonts w:ascii="仿宋" w:hAnsi="仿宋" w:eastAsia="仿宋"/>
                                <w:sz w:val="28"/>
                                <w:szCs w:val="28"/>
                              </w:rPr>
                            </w:r>
                            <w:r/>
                          </w:p>
                          <w:p>
                            <w:pPr>
                              <w:pStyle w:val="678"/>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46.7pt;mso-wrap-distance-left:9.0pt;mso-wrap-distance-top:0.0pt;mso-wrap-distance-right:9.0pt;mso-wrap-distance-bottom:0.0pt;visibility:visible;" fillcolor="#FFFFFF" strokecolor="#000000">
                <v:textbox inset="0,0,0,0">
                  <w:txbxContent>
                    <w:p>
                      <w:pPr>
                        <w:pStyle w:val="67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淮安市港航事业发展中心办公楼电梯采购项目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年6</w:t>
                      </w:r>
                      <w:r>
                        <w:rPr>
                          <w:rFonts w:hint="eastAsia" w:ascii="仿宋" w:hAnsi="仿宋" w:eastAsia="仿宋"/>
                          <w:sz w:val="28"/>
                          <w:szCs w:val="28"/>
                        </w:rPr>
                        <w:t xml:space="preserve">月1日9点30分（北京时间）前提交投标文件。</w:t>
                      </w:r>
                      <w:r>
                        <w:rPr>
                          <w:rFonts w:ascii="仿宋" w:hAnsi="仿宋" w:eastAsia="仿宋"/>
                          <w:sz w:val="28"/>
                          <w:szCs w:val="28"/>
                        </w:rPr>
                      </w:r>
                      <w:r/>
                    </w:p>
                    <w:p>
                      <w:pPr>
                        <w:pStyle w:val="678"/>
                      </w:pPr>
                      <w:r/>
                      <w:r/>
                    </w:p>
                  </w:txbxContent>
                </v:textbox>
              </v:shape>
            </w:pict>
          </mc:Fallback>
        </mc:AlternateContent>
      </w: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7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78"/>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（一）项目编号:JSZC-320800-JZCG-G2026-0027</w:t>
      </w:r>
      <w:r>
        <w:rPr>
          <w:rFonts w:hint="eastAsia"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bCs/>
          <w:sz w:val="28"/>
        </w:rPr>
        <w:t xml:space="preserve">淮安市港航事业发展中心办公楼电梯采购项目</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万元</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万元</w:t>
      </w:r>
      <w:r>
        <w:rPr>
          <w:rFonts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（五）采购需求:办公楼有机房无齿轮乘客电梯一台</w:t>
      </w:r>
      <w:r>
        <w:rPr>
          <w:rFonts w:hint="eastAsia" w:ascii="仿宋" w:hAnsi="仿宋" w:eastAsia="仿宋"/>
          <w:sz w:val="28"/>
          <w:szCs w:val="28"/>
          <w:lang w:eastAsia="zh-CN"/>
        </w:rPr>
        <w:t xml:space="preserve">，详见第五章。</w:t>
      </w:r>
      <w:r>
        <w:rPr>
          <w:rFonts w:hint="eastAsia" w:ascii="仿宋" w:hAnsi="仿宋" w:eastAsia="仿宋"/>
          <w:sz w:val="28"/>
          <w:szCs w:val="28"/>
          <w:lang w:eastAsia="zh-CN"/>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（六）合同履行期限:合同签订后，接到采购人排产通知后60天内完成交货及安装调试，通过电梯主管部门验收并取得电梯使用合格证书。 </w:t>
      </w:r>
      <w:r>
        <w:rPr>
          <w:rFonts w:hint="eastAsia"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lang w:eastAsia="zh-CN"/>
        </w:rPr>
        <w:t xml:space="preserve">工业</w:t>
      </w:r>
      <w:r>
        <w:rPr>
          <w:rFonts w:hint="eastAsia" w:ascii="仿宋" w:hAnsi="仿宋" w:eastAsia="仿宋"/>
          <w:sz w:val="28"/>
          <w:szCs w:val="28"/>
        </w:rPr>
        <w:t xml:space="preserve">。</w:t>
      </w:r>
      <w:r>
        <w:rPr>
          <w:rFonts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678"/>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678"/>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678"/>
        <w:ind w:firstLine="562"/>
        <w:keepLines w:val="0"/>
        <w:keepNext w:val="0"/>
        <w:pageBreakBefore w:val="0"/>
        <w:spacing w:line="520" w:lineRule="exact"/>
        <w:rPr>
          <w:rFonts w:ascii="仿宋" w:hAnsi="仿宋" w:eastAsia="仿宋"/>
          <w:b/>
          <w:bCs/>
          <w:color w:val="000000"/>
          <w:sz w:val="28"/>
          <w:szCs w:val="28"/>
          <w:lang w:val="zh-CN"/>
        </w:rPr>
        <w:outlineLvl w:val="9"/>
      </w:pPr>
      <w:r>
        <w:rPr>
          <w:rFonts w:hint="eastAsia" w:ascii="仿宋" w:hAnsi="仿宋" w:eastAsia="仿宋"/>
          <w:b/>
          <w:bCs/>
          <w:sz w:val="28"/>
          <w:szCs w:val="28"/>
        </w:rPr>
        <w:t xml:space="preserve">（三）本项目的特定资格要求:投标人或所投电梯制造商须具有有效期内的《中华人民共和国特种设备生产许可证》（包含乘客电梯许可项目）。</w:t>
      </w:r>
      <w:r>
        <w:rPr>
          <w:rFonts w:ascii="仿宋" w:hAnsi="仿宋" w:eastAsia="仿宋"/>
          <w:b/>
          <w:bCs/>
          <w:color w:val="000000"/>
          <w:sz w:val="28"/>
          <w:szCs w:val="28"/>
          <w:lang w:val="zh-CN"/>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78"/>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67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年6月1日上午</w:t>
      </w:r>
      <w:r>
        <w:rPr>
          <w:rFonts w:ascii="仿宋" w:hAnsi="仿宋" w:eastAsia="仿宋"/>
          <w:sz w:val="28"/>
          <w:szCs w:val="28"/>
        </w:rPr>
        <w:t xml:space="preserve">9:30</w:t>
      </w:r>
      <w:r/>
    </w:p>
    <w:p>
      <w:pPr>
        <w:pStyle w:val="67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67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名称:淮安市港航事业发展中心</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地址:淮安市漕运西路96号</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联系方式:王海雷</w:t>
      </w:r>
      <w:r>
        <w:rPr>
          <w:rFonts w:hint="eastAsia" w:ascii="仿宋" w:hAnsi="仿宋" w:eastAsia="仿宋"/>
          <w:sz w:val="28"/>
          <w:szCs w:val="28"/>
          <w:lang w:val="en-US" w:eastAsia="zh-CN"/>
        </w:rPr>
        <w:t xml:space="preserve">    0517-83996818</w:t>
      </w:r>
      <w:r>
        <w:rPr>
          <w:rFonts w:ascii="仿宋" w:hAnsi="仿宋" w:eastAsia="仿宋"/>
          <w:sz w:val="28"/>
          <w:szCs w:val="28"/>
          <w:lang w:val="en-US" w:eastAsia="zh-CN"/>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刘乃源</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678"/>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67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678"/>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678"/>
        <w:keepLines w:val="0"/>
        <w:keepNext w:val="0"/>
        <w:pageBreakBefore w:val="0"/>
        <w:spacing w:line="520" w:lineRule="exact"/>
        <w:rPr>
          <w:rFonts w:ascii="仿宋" w:hAnsi="仿宋" w:eastAsia="仿宋"/>
          <w:sz w:val="28"/>
          <w:szCs w:val="28"/>
        </w:rPr>
        <w:outlineLvl w:val="9"/>
      </w:pPr>
      <w:r/>
      <w:bookmarkStart w:id="0" w:name="_Toc513029214"/>
      <w:r/>
      <w:bookmarkStart w:id="1" w:name="_Toc20823286"/>
      <w:r/>
      <w:bookmarkStart w:id="2" w:name="_Toc462564073"/>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678"/>
        <w:keepLines w:val="0"/>
        <w:keepNext w:val="0"/>
        <w:pageBreakBefore w:val="0"/>
        <w:spacing w:line="520" w:lineRule="exact"/>
        <w:rPr>
          <w:rFonts w:ascii="仿宋" w:hAnsi="仿宋" w:eastAsia="仿宋"/>
          <w:sz w:val="28"/>
          <w:szCs w:val="28"/>
        </w:rPr>
        <w:outlineLvl w:val="9"/>
      </w:pPr>
      <w:r/>
      <w:bookmarkEnd w:id="4"/>
      <w:r/>
      <w:bookmarkEnd w:id="5"/>
      <w:r/>
      <w:bookmarkStart w:id="6" w:name="_Toc14577360"/>
      <w:r/>
      <w:bookmarkStart w:id="7" w:name="_Toc49090511"/>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678"/>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r>
      <w:r/>
    </w:p>
    <w:p>
      <w:pPr>
        <w:pStyle w:val="67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lang w:eastAsia="zh-CN"/>
        </w:rPr>
        <w:t xml:space="preserve">明</w:t>
      </w:r>
      <w:r>
        <w:rPr>
          <w:rFonts w:hint="eastAsia" w:ascii="仿宋" w:hAnsi="仿宋" w:eastAsia="仿宋"/>
          <w:bCs/>
          <w:sz w:val="28"/>
          <w:szCs w:val="28"/>
        </w:rPr>
        <w:t xml:space="preserve">标方式进行评审。</w:t>
      </w:r>
      <w:r>
        <w:rPr>
          <w:rFonts w:hint="eastAsia" w:ascii="仿宋" w:hAnsi="仿宋" w:eastAsia="仿宋"/>
          <w:bCs/>
          <w:sz w:val="28"/>
          <w:szCs w:val="28"/>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678"/>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678"/>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678"/>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bookmarkStart w:id="9" w:name="_Toc513029231"/>
      <w:r/>
      <w:bookmarkStart w:id="10" w:name="_Toc16938547"/>
      <w:r/>
      <w:bookmarkStart w:id="11" w:name="_Toc20823303"/>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67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bookmarkStart w:id="12" w:name="_Toc513029232"/>
      <w:r/>
      <w:bookmarkStart w:id="13" w:name="_Toc20823304"/>
      <w:r/>
      <w:bookmarkStart w:id="14" w:name="_Toc16938548"/>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bookmarkStart w:id="15" w:name="_Toc16938549"/>
      <w:r/>
      <w:bookmarkStart w:id="16" w:name="_Toc513029233"/>
      <w:r/>
      <w:bookmarkStart w:id="17" w:name="_Toc20823305"/>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513029234"/>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lang w:val="en-US" w:eastAsia="zh-CN"/>
        </w:rPr>
      </w:r>
      <w:r/>
    </w:p>
    <w:p>
      <w:pPr>
        <w:pStyle w:val="67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lang w:val="en-US" w:eastAsia="zh-CN"/>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bookmarkStart w:id="21" w:name="_Toc16938551"/>
      <w:r/>
      <w:bookmarkStart w:id="22" w:name="_Toc20823307"/>
      <w:r/>
      <w:bookmarkStart w:id="23" w:name="_Toc513029235"/>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评标委员会按照本招标文件规定对投标人进行异常低价投标审查后，认为投标人不能证明其报价合理性的。</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26.1.13 投标人未完全满足第五章“一、采购清单”中“</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”技术参数的。</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26.1.14 投标人未按照第五章“★2、功能表”“★四、质保期限”“五、售后服务及其他伴随服务要求”中“</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”要求提供承诺函等相关材料的。</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5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678"/>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678"/>
        <w:keepLines w:val="0"/>
        <w:keepNext w:val="0"/>
        <w:pageBreakBefore w:val="0"/>
        <w:spacing w:line="520" w:lineRule="exact"/>
        <w:rPr>
          <w:rFonts w:ascii="仿宋" w:hAnsi="仿宋" w:eastAsia="仿宋"/>
          <w:sz w:val="28"/>
          <w:szCs w:val="28"/>
        </w:rPr>
        <w:outlineLvl w:val="9"/>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678"/>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678"/>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678"/>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67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67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678"/>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16938552"/>
      <w:r/>
      <w:bookmarkStart w:id="31" w:name="_Toc513029236"/>
      <w:r/>
      <w:bookmarkStart w:id="32" w:name="_Toc20823308"/>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678"/>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20823309"/>
      <w:r/>
      <w:bookmarkStart w:id="34" w:name="_Toc16938553"/>
      <w:r/>
      <w:bookmarkStart w:id="35" w:name="_Toc513029237"/>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67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699"/>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sz w:val="28"/>
          <w:szCs w:val="28"/>
          <w:highlight w:val="none"/>
          <w:lang w:eastAsia="zh-CN"/>
        </w:rPr>
      </w:r>
      <w:r/>
    </w:p>
    <w:p>
      <w:pPr>
        <w:pStyle w:val="699"/>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678"/>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lang w:val="en-US" w:eastAsia="zh-CN" w:bidi="ar-SA"/>
        </w:rPr>
      </w:r>
      <w:r/>
    </w:p>
    <w:p>
      <w:pPr>
        <w:pStyle w:val="678"/>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lang w:val="en-US" w:eastAsia="zh-CN" w:bidi="ar-SA"/>
        </w:rPr>
      </w:r>
      <w:r/>
    </w:p>
    <w:p>
      <w:pPr>
        <w:pStyle w:val="678"/>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lang w:val="en-US" w:eastAsia="zh-CN" w:bidi="ar-SA"/>
        </w:rPr>
      </w:r>
      <w:r/>
    </w:p>
    <w:p>
      <w:pPr>
        <w:pStyle w:val="678"/>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rPr>
          <w:rFonts w:hint="eastAsia" w:ascii="仿宋" w:hAnsi="仿宋" w:eastAsia="仿宋" w:cs="Times New Roman"/>
          <w:sz w:val="28"/>
          <w:szCs w:val="28"/>
          <w:lang w:val="en-US" w:eastAsia="zh-CN" w:bidi="ar-SA"/>
        </w:rPr>
      </w:r>
      <w:r/>
    </w:p>
    <w:p>
      <w:pPr>
        <w:pStyle w:val="678"/>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lang w:val="en-US" w:eastAsia="zh-CN" w:bidi="ar-SA"/>
        </w:rPr>
      </w:r>
      <w:r/>
    </w:p>
    <w:p>
      <w:pPr>
        <w:pStyle w:val="678"/>
        <w:ind w:firstLine="56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lang w:val="en-US" w:eastAsia="zh-CN" w:bidi="ar-SA"/>
        </w:rPr>
      </w:r>
      <w:r/>
    </w:p>
    <w:p>
      <w:pPr>
        <w:pStyle w:val="678"/>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67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678"/>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678"/>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715"/>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71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71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71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715"/>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71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71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71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71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71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715"/>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67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67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678"/>
        <w:ind w:firstLine="498"/>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28"/>
        </w:rPr>
        <w:t xml:space="preserve">1、价格:</w:t>
      </w:r>
      <w:r>
        <w:rPr>
          <w:rFonts w:hint="eastAsia" w:ascii="仿宋" w:hAnsi="仿宋" w:eastAsia="仿宋"/>
          <w:b/>
          <w:bCs/>
          <w:sz w:val="28"/>
          <w:lang w:val="en-US" w:eastAsia="zh-CN"/>
        </w:rPr>
        <w:t xml:space="preserve">30</w:t>
      </w:r>
      <w:r>
        <w:rPr>
          <w:rFonts w:hint="eastAsia" w:ascii="仿宋" w:hAnsi="仿宋" w:eastAsia="仿宋"/>
          <w:b/>
          <w:bCs/>
          <w:sz w:val="28"/>
        </w:rPr>
        <w:t xml:space="preserve">分</w:t>
      </w:r>
      <w:r>
        <w:rPr>
          <w:rFonts w:hint="eastAsia" w:ascii="仿宋" w:hAnsi="仿宋" w:eastAsia="仿宋"/>
          <w:b/>
          <w:bCs/>
          <w:sz w:val="28"/>
        </w:rPr>
      </w:r>
      <w:r/>
    </w:p>
    <w:p>
      <w:pPr>
        <w:pStyle w:val="711"/>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711"/>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30</w:t>
      </w:r>
      <w:r>
        <w:rPr>
          <w:rFonts w:hint="eastAsia" w:ascii="仿宋" w:hAnsi="仿宋" w:eastAsia="仿宋"/>
        </w:rPr>
        <w:t xml:space="preserve">分</w:t>
      </w:r>
      <w:r>
        <w:rPr>
          <w:rFonts w:hint="eastAsia" w:ascii="仿宋" w:hAnsi="仿宋" w:eastAsia="仿宋"/>
        </w:rPr>
      </w:r>
      <w:r/>
    </w:p>
    <w:p>
      <w:pPr>
        <w:pStyle w:val="678"/>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2</w:t>
      </w:r>
      <w:r>
        <w:rPr>
          <w:rFonts w:hint="eastAsia" w:ascii="仿宋" w:hAnsi="仿宋" w:eastAsia="仿宋"/>
          <w:b/>
          <w:bCs/>
          <w:sz w:val="28"/>
          <w:szCs w:val="28"/>
        </w:rPr>
        <w:t xml:space="preserve">、技术部分:</w:t>
      </w:r>
      <w:r>
        <w:rPr>
          <w:rFonts w:hint="eastAsia" w:ascii="仿宋" w:hAnsi="仿宋" w:eastAsia="仿宋"/>
          <w:b/>
          <w:bCs/>
          <w:sz w:val="28"/>
          <w:szCs w:val="28"/>
          <w:lang w:val="en-US" w:eastAsia="zh-CN"/>
        </w:rPr>
        <w:t xml:space="preserve">40</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（1）投标人所投产品技术参数完全满足招标文件第五章“一、采购项目清单及参数要求”中</w:t>
      </w:r>
      <w:r>
        <w:rPr>
          <w:rFonts w:hint="eastAsia" w:ascii="仿宋" w:hAnsi="仿宋" w:eastAsia="仿宋"/>
          <w:sz w:val="28"/>
          <w:szCs w:val="28"/>
          <w:lang w:eastAsia="zh-CN"/>
        </w:rPr>
        <w:t xml:space="preserve">技术参数要求的得</w:t>
      </w:r>
      <w:r>
        <w:rPr>
          <w:rFonts w:hint="eastAsia" w:ascii="仿宋" w:hAnsi="仿宋" w:eastAsia="仿宋"/>
          <w:sz w:val="28"/>
          <w:szCs w:val="28"/>
          <w:lang w:val="en-US" w:eastAsia="zh-CN"/>
        </w:rPr>
        <w:t xml:space="preserve">34分</w:t>
      </w:r>
      <w:r>
        <w:rPr>
          <w:rFonts w:hint="eastAsia" w:ascii="仿宋" w:hAnsi="仿宋" w:eastAsia="仿宋"/>
          <w:sz w:val="28"/>
          <w:szCs w:val="28"/>
        </w:rPr>
        <w:t xml:space="preserve">，其中标注“★”项技术参数，有任意一项未满足的作无效投标处理。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其中，</w:t>
      </w:r>
      <w:r>
        <w:rPr>
          <w:rFonts w:hint="eastAsia" w:ascii="仿宋" w:hAnsi="仿宋" w:eastAsia="仿宋"/>
          <w:sz w:val="28"/>
          <w:szCs w:val="28"/>
        </w:rPr>
        <w:t xml:space="preserve">加“▲”项参数为主要参数，共2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分，每有一项负偏离扣2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分,扣完为止；除加“★”“▲”项外的技术参数为一般技术参数，共10分，每出现一条负偏离扣0.5分，扣完为止。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主机、控制柜、调速装置、控制装置、限速器、安全钳、缓冲器、层门门锁、轿门门锁、安全电路、上行超速保护装置、轿厢意外移动保护装置均为原厂原品牌(原厂原品牌为部件制造厂家与电梯整机制造厂家一致)，全部满足的得6分，其中一项不满足的扣0.5分。</w:t>
      </w:r>
      <w:r>
        <w:rPr>
          <w:rFonts w:hint="eastAsia" w:ascii="仿宋" w:hAnsi="仿宋" w:eastAsia="仿宋"/>
          <w:b/>
          <w:bCs/>
          <w:sz w:val="28"/>
          <w:szCs w:val="28"/>
        </w:rPr>
        <w:t xml:space="preserve">（需提供所投产品型号整梯的型式试验报告原件扫描件并加盖投标人公章，不提供不得分。）</w:t>
      </w:r>
      <w:r>
        <w:rPr>
          <w:rFonts w:hint="eastAsia" w:ascii="仿宋" w:hAnsi="仿宋" w:eastAsia="仿宋"/>
          <w:b/>
          <w:bCs/>
          <w:sz w:val="28"/>
          <w:szCs w:val="28"/>
        </w:rPr>
      </w:r>
      <w:r/>
    </w:p>
    <w:p>
      <w:pPr>
        <w:pStyle w:val="678"/>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3</w:t>
      </w:r>
      <w:r>
        <w:rPr>
          <w:rFonts w:hint="eastAsia" w:ascii="仿宋" w:hAnsi="仿宋" w:eastAsia="仿宋"/>
          <w:b/>
          <w:bCs/>
          <w:sz w:val="28"/>
          <w:szCs w:val="28"/>
        </w:rPr>
        <w:t xml:space="preserve">、方案部分:</w:t>
      </w:r>
      <w:r>
        <w:rPr>
          <w:rFonts w:hint="eastAsia" w:ascii="仿宋" w:hAnsi="仿宋" w:eastAsia="仿宋"/>
          <w:b/>
          <w:bCs/>
          <w:sz w:val="28"/>
          <w:szCs w:val="28"/>
          <w:lang w:val="en-US" w:eastAsia="zh-CN"/>
        </w:rPr>
        <w:t xml:space="preserve">18</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评委会根据投标人提供的方案进行评分，不提供分项方案或者经三分之二评委认定分项方案存在重大偏离的，分项方案不得分。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（1）电梯施工方案：（6分）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投标人针对本项目提供完整、合理、科学的施工方案，方案内容至少包括：①施工组织计划②新电梯安装方案③施工安全、施工质量④施工环境管理⑤施工进度计划。</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方案优于项目需求的得6分，完全符合项目需求的得3分，基本符合项目需求的得2分，略次于项目需求但是能达到使用要求的得1分。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（2）应急方案：（6分）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投标人针对本项目提供完整、合理的应急预案，预案内容至少包含以下模块：①沟通平台建设②应急预案流程③安全保障措施④应急响应措施⑤对争议结果的解决方案。</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方案优于项目需求的得6分，完全符合项目需求的得3分，基本符合项目需求的得2分，略次于项目需求但是能达到使用要求的得1分。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（3）售后服务方案：（6分）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投标人针对本项目提供完整、合理的售后服务方案，售后服务方案内容至少包含以下模块：①售后服务机构地点及人员配置；②售后服务响应时间及方式；③质保内容；④对使用方人员的培训计划。</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方案优于项目需求的得6分，完全符合项目需求的得3分，基本符合项目需求的得2分，略次于项目需求但是能达到使用要求的得1分。</w:t>
      </w:r>
      <w:r>
        <w:rPr>
          <w:rFonts w:hint="eastAsia" w:ascii="仿宋" w:hAnsi="仿宋" w:eastAsia="仿宋"/>
          <w:sz w:val="28"/>
          <w:szCs w:val="28"/>
        </w:rPr>
      </w:r>
      <w:r/>
    </w:p>
    <w:p>
      <w:pPr>
        <w:pStyle w:val="678"/>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、商务部分:</w:t>
      </w:r>
      <w:r>
        <w:rPr>
          <w:rFonts w:hint="eastAsia" w:ascii="仿宋" w:hAnsi="仿宋" w:eastAsia="仿宋"/>
          <w:b/>
          <w:bCs/>
          <w:sz w:val="28"/>
          <w:szCs w:val="28"/>
          <w:lang w:val="en-US" w:eastAsia="zh-CN"/>
        </w:rPr>
        <w:t xml:space="preserve">8</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具有有效期内的ISO9001质量管理体系认证、ISO14001环境管理体系认证、ISO45001职业健康安全管理体系认证、能源管理体系认证证书的，每个证书得1分，本项最高得4分，没有不得分。（提供证书扫描件加盖投标单位电子签章，未提供不得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投标人自2022年1月起至今，承担过类似业绩的，每提供一份业绩得1分，本项最高得3分，没有不得分。（提供业绩合同扫描件，以合同签订日期为准，电梯监督检验报告，电梯特种设备使用标志，其中电梯销售安装合同主体、电梯特种设备使用标志上的维保单位均需与投标人营业执照名称一致，加盖投标单位电子签章，未提供不得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投标人或所投电梯制造商拥有中国合格评定国家认可委员会CNAS实验室认可证书的得1分，没有不得分。（提供证书扫描件加盖投标人电子签章，未提供不得分。证书标注的制造商名称与本次所投电梯制造商营业执照上名称必须一致）</w:t>
      </w:r>
      <w:r>
        <w:rPr>
          <w:rFonts w:hint="eastAsia" w:ascii="仿宋" w:hAnsi="仿宋" w:eastAsia="仿宋"/>
          <w:sz w:val="28"/>
          <w:szCs w:val="28"/>
        </w:rPr>
      </w:r>
      <w:r/>
    </w:p>
    <w:p>
      <w:pPr>
        <w:pStyle w:val="678"/>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5</w:t>
      </w:r>
      <w:r>
        <w:rPr>
          <w:rFonts w:hint="eastAsia" w:ascii="仿宋" w:hAnsi="仿宋" w:eastAsia="仿宋"/>
          <w:b/>
          <w:bCs/>
          <w:sz w:val="28"/>
          <w:szCs w:val="28"/>
        </w:rPr>
        <w:t xml:space="preserve">、售后服务:</w:t>
      </w: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或所投电梯品牌制造商获得过市场监督管理局或省级相关监督管理部门维保星级评定五星级的得4分，四星级的得2分，三星级的得1分，其它不得分，本项最多得4分。（提供证书原件扫描件加盖投标人电子签章）                          </w:t>
      </w:r>
      <w:r>
        <w:rPr>
          <w:rFonts w:hint="eastAsia" w:ascii="仿宋" w:hAnsi="仿宋" w:eastAsia="仿宋"/>
          <w:sz w:val="28"/>
          <w:szCs w:val="28"/>
        </w:rPr>
      </w:r>
      <w:r/>
    </w:p>
    <w:p>
      <w:pPr>
        <w:pStyle w:val="67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678"/>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699"/>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99"/>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678"/>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6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699"/>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699"/>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69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699"/>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699"/>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699"/>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699"/>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69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rPr>
          <w:rFonts w:hint="eastAsia" w:ascii="仿宋" w:hAnsi="仿宋" w:eastAsia="仿宋"/>
          <w:sz w:val="28"/>
          <w:szCs w:val="28"/>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6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678"/>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678"/>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678"/>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、如乙方未能履行合同规定的义务，甲方有权从履约保证金中取得补偿。</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lang w:eastAsia="zh-CN"/>
        </w:rPr>
        <w:t xml:space="preserve">基准利率</w:t>
      </w:r>
      <w:r>
        <w:rPr>
          <w:rFonts w:hint="eastAsia" w:ascii="仿宋" w:hAnsi="仿宋" w:eastAsia="仿宋"/>
          <w:sz w:val="28"/>
          <w:szCs w:val="28"/>
        </w:rPr>
        <w:t xml:space="preserve">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、履约保证金在合同约定期间内不予退还或者应完全有效，履约保证金在项目验收合格后无息退还给乙方。</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67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67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67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6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678"/>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678"/>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678"/>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67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678"/>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67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67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678"/>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678"/>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67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743"/>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743"/>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743"/>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743"/>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6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6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6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678"/>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69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69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67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699"/>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678"/>
        <w:spacing w:before="240" w:after="240" w:line="519" w:lineRule="atLeast"/>
        <w:rPr>
          <w:color w:val="000000"/>
        </w:rPr>
        <w:pBdr>
          <w:top w:val="none" w:color="000000" w:sz="0" w:space="0"/>
          <w:left w:val="none" w:color="000000" w:sz="0" w:space="0"/>
          <w:bottom w:val="none" w:color="000000" w:sz="0" w:space="0"/>
          <w:right w:val="none" w:color="000000" w:sz="0" w:space="0"/>
        </w:pBdr>
      </w:pPr>
      <w:r>
        <w:rPr>
          <w:rFonts w:eastAsia="仿宋"/>
          <w:b/>
          <w:color w:val="000000"/>
          <w:sz w:val="28"/>
        </w:rPr>
        <w:t xml:space="preserve">一、采购清单</w:t>
      </w:r>
      <w:r>
        <w:rPr>
          <w:color w:val="000000"/>
        </w:rPr>
      </w:r>
      <w:r/>
    </w:p>
    <w:tbl>
      <w:tblPr>
        <w:tblW w:w="928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5020"/>
        <w:gridCol w:w="3278"/>
      </w:tblGrid>
      <w:tr>
        <w:trPr>
          <w:trHeight w:val="556"/>
        </w:trPr>
        <w:tc>
          <w:tcPr>
            <w:tcMar>
              <w:left w:w="108" w:type="dxa"/>
              <w:top w:w="0" w:type="dxa"/>
              <w:right w:w="108" w:type="dxa"/>
              <w:bottom w:w="0" w:type="dxa"/>
            </w:tcMar>
            <w:tcW w:w="990" w:type="dxa"/>
            <w:vAlign w:val="center"/>
            <w:textDirection w:val="lrTb"/>
            <w:noWrap w:val="false"/>
          </w:tcPr>
          <w:p>
            <w:pPr>
              <w:pStyle w:val="678"/>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序号</w:t>
            </w:r>
            <w:r>
              <w:rPr>
                <w:color w:val="000000"/>
              </w:rPr>
            </w:r>
            <w:r/>
          </w:p>
        </w:tc>
        <w:tc>
          <w:tcPr>
            <w:tcMar>
              <w:left w:w="108" w:type="dxa"/>
              <w:top w:w="0" w:type="dxa"/>
              <w:right w:w="108" w:type="dxa"/>
              <w:bottom w:w="0" w:type="dxa"/>
            </w:tcMar>
            <w:tcW w:w="5020" w:type="dxa"/>
            <w:vAlign w:val="center"/>
            <w:textDirection w:val="lrTb"/>
            <w:noWrap w:val="false"/>
          </w:tcPr>
          <w:p>
            <w:pPr>
              <w:pStyle w:val="678"/>
              <w:ind w:firstLine="425"/>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产品名称</w:t>
            </w:r>
            <w:r>
              <w:rPr>
                <w:color w:val="000000"/>
              </w:rPr>
            </w:r>
            <w:r/>
          </w:p>
        </w:tc>
        <w:tc>
          <w:tcPr>
            <w:tcMar>
              <w:left w:w="108" w:type="dxa"/>
              <w:top w:w="0" w:type="dxa"/>
              <w:right w:w="108" w:type="dxa"/>
              <w:bottom w:w="0" w:type="dxa"/>
            </w:tcMar>
            <w:tcW w:w="3278" w:type="dxa"/>
            <w:vAlign w:val="center"/>
            <w:textDirection w:val="lrTb"/>
            <w:noWrap w:val="false"/>
          </w:tcPr>
          <w:p>
            <w:pPr>
              <w:pStyle w:val="678"/>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数量</w:t>
            </w:r>
            <w:r>
              <w:rPr>
                <w:color w:val="000000"/>
              </w:rPr>
            </w:r>
            <w:r/>
          </w:p>
        </w:tc>
      </w:tr>
      <w:tr>
        <w:trPr>
          <w:trHeight w:val="576"/>
        </w:trPr>
        <w:tc>
          <w:tcPr>
            <w:tcMar>
              <w:left w:w="108" w:type="dxa"/>
              <w:top w:w="0" w:type="dxa"/>
              <w:right w:w="108" w:type="dxa"/>
              <w:bottom w:w="0" w:type="dxa"/>
            </w:tcMar>
            <w:tcW w:w="990"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color w:val="000000"/>
              </w:rPr>
            </w:r>
            <w:r/>
          </w:p>
        </w:tc>
        <w:tc>
          <w:tcPr>
            <w:tcMar>
              <w:left w:w="108" w:type="dxa"/>
              <w:top w:w="0" w:type="dxa"/>
              <w:right w:w="108" w:type="dxa"/>
              <w:bottom w:w="0" w:type="dxa"/>
            </w:tcMar>
            <w:tcW w:w="5020"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有机房无齿轮乘客电梯</w:t>
            </w:r>
            <w:r>
              <w:rPr>
                <w:color w:val="000000"/>
              </w:rPr>
            </w:r>
            <w:r/>
          </w:p>
        </w:tc>
        <w:tc>
          <w:tcPr>
            <w:tcMar>
              <w:left w:w="108" w:type="dxa"/>
              <w:top w:w="0" w:type="dxa"/>
              <w:right w:w="108" w:type="dxa"/>
              <w:bottom w:w="0" w:type="dxa"/>
            </w:tcMar>
            <w:tcW w:w="3278"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rFonts w:hint="eastAsia" w:eastAsia="仿宋"/>
                <w:color w:val="000000"/>
                <w:sz w:val="28"/>
              </w:rPr>
              <w:t xml:space="preserve">台</w:t>
            </w:r>
            <w:r>
              <w:rPr>
                <w:color w:val="000000"/>
              </w:rPr>
            </w:r>
            <w:r/>
          </w:p>
        </w:tc>
      </w:tr>
    </w:tbl>
    <w:p>
      <w:pPr>
        <w:pStyle w:val="678"/>
        <w:spacing w:before="240" w:after="240" w:line="519" w:lineRule="atLeast"/>
        <w:rPr>
          <w:color w:val="000000"/>
        </w:rPr>
        <w:pBdr>
          <w:top w:val="none" w:color="000000" w:sz="0" w:space="0"/>
          <w:left w:val="none" w:color="000000" w:sz="0" w:space="0"/>
          <w:bottom w:val="none" w:color="000000" w:sz="0" w:space="0"/>
          <w:right w:val="none" w:color="000000" w:sz="0" w:space="0"/>
        </w:pBdr>
      </w:pPr>
      <w:r>
        <w:rPr>
          <w:rFonts w:eastAsia="仿宋"/>
          <w:b/>
          <w:color w:val="000000"/>
          <w:sz w:val="28"/>
        </w:rPr>
        <w:t xml:space="preserve">1、无机房无齿轮乘客电梯，</w:t>
      </w:r>
      <w:r>
        <w:rPr>
          <w:rFonts w:hint="eastAsia" w:eastAsia="仿宋"/>
          <w:b/>
          <w:color w:val="000000"/>
          <w:sz w:val="28"/>
        </w:rPr>
        <w:t xml:space="preserve">一</w:t>
      </w:r>
      <w:r>
        <w:rPr>
          <w:rFonts w:eastAsia="仿宋"/>
          <w:b/>
          <w:color w:val="000000"/>
          <w:sz w:val="28"/>
        </w:rPr>
        <w:t xml:space="preserve">台电梯均需满足以下技术参数：</w:t>
      </w:r>
      <w:r>
        <w:rPr>
          <w:color w:val="000000"/>
        </w:rPr>
      </w:r>
      <w:r/>
    </w:p>
    <w:tbl>
      <w:tblPr>
        <w:tblW w:w="928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1958"/>
        <w:gridCol w:w="6402"/>
      </w:tblGrid>
      <w:tr>
        <w:trPr>
          <w:trHeight w:val="340"/>
        </w:trPr>
        <w:tc>
          <w:tcPr>
            <w:tcMar>
              <w:left w:w="108" w:type="dxa"/>
              <w:top w:w="0" w:type="dxa"/>
              <w:right w:w="108" w:type="dxa"/>
              <w:bottom w:w="0" w:type="dxa"/>
            </w:tcMar>
            <w:tcW w:w="928" w:type="dxa"/>
            <w:vAlign w:val="center"/>
            <w:textDirection w:val="lrTb"/>
            <w:noWrap w:val="false"/>
          </w:tcPr>
          <w:p>
            <w:pPr>
              <w:pStyle w:val="678"/>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序号</w:t>
            </w:r>
            <w:r>
              <w:rPr>
                <w:color w:val="000000"/>
              </w:rPr>
            </w:r>
            <w:r/>
          </w:p>
        </w:tc>
        <w:tc>
          <w:tcPr>
            <w:tcMar>
              <w:left w:w="108" w:type="dxa"/>
              <w:top w:w="0" w:type="dxa"/>
              <w:right w:w="108" w:type="dxa"/>
              <w:bottom w:w="0" w:type="dxa"/>
            </w:tcMar>
            <w:tcW w:w="1958" w:type="dxa"/>
            <w:vAlign w:val="center"/>
            <w:textDirection w:val="lrTb"/>
            <w:noWrap w:val="false"/>
          </w:tcPr>
          <w:p>
            <w:pPr>
              <w:pStyle w:val="678"/>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功能名称</w:t>
            </w:r>
            <w:r>
              <w:rPr>
                <w:color w:val="000000"/>
              </w:rPr>
            </w:r>
            <w:r/>
          </w:p>
        </w:tc>
        <w:tc>
          <w:tcPr>
            <w:tcMar>
              <w:left w:w="108" w:type="dxa"/>
              <w:top w:w="0" w:type="dxa"/>
              <w:right w:w="108" w:type="dxa"/>
              <w:bottom w:w="0" w:type="dxa"/>
            </w:tcMar>
            <w:tcW w:w="6402" w:type="dxa"/>
            <w:vAlign w:val="center"/>
            <w:textDirection w:val="lrTb"/>
            <w:noWrap w:val="false"/>
          </w:tcPr>
          <w:p>
            <w:pPr>
              <w:pStyle w:val="678"/>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功能说明</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color w:val="000000"/>
              </w:rPr>
            </w:r>
            <w:r/>
          </w:p>
        </w:tc>
        <w:tc>
          <w:tcPr>
            <w:tcMar>
              <w:left w:w="108" w:type="dxa"/>
              <w:top w:w="0" w:type="dxa"/>
              <w:right w:w="108" w:type="dxa"/>
              <w:bottom w:w="0" w:type="dxa"/>
            </w:tcMar>
            <w:tcW w:w="1958" w:type="dxa"/>
            <w:vAlign w:val="center"/>
            <w:textDirection w:val="lrTb"/>
            <w:noWrap w:val="false"/>
          </w:tcPr>
          <w:p>
            <w:pPr>
              <w:pStyle w:val="678"/>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额定载重</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hint="eastAsia" w:ascii="宋体" w:hAnsi="宋体" w:cs="宋体"/>
                <w:color w:val="000000"/>
                <w:sz w:val="28"/>
              </w:rPr>
              <w:t xml:space="preserve">≧</w:t>
            </w:r>
            <w:r>
              <w:rPr>
                <w:rFonts w:eastAsia="仿宋"/>
                <w:color w:val="000000"/>
                <w:sz w:val="28"/>
              </w:rPr>
              <w:t xml:space="preserve">1000kg</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w:t>
            </w:r>
            <w:r>
              <w:rPr>
                <w:color w:val="000000"/>
              </w:rPr>
            </w:r>
            <w:r/>
          </w:p>
        </w:tc>
        <w:tc>
          <w:tcPr>
            <w:tcMar>
              <w:left w:w="108" w:type="dxa"/>
              <w:top w:w="0" w:type="dxa"/>
              <w:right w:w="108" w:type="dxa"/>
              <w:bottom w:w="0" w:type="dxa"/>
            </w:tcMar>
            <w:tcW w:w="1958" w:type="dxa"/>
            <w:vAlign w:val="center"/>
            <w:textDirection w:val="lrTb"/>
            <w:noWrap w:val="false"/>
          </w:tcPr>
          <w:p>
            <w:pPr>
              <w:pStyle w:val="678"/>
              <w:ind w:left="-40" w:right="-34"/>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速度(m/s)</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tabs>
                <w:tab w:val="left" w:pos="252" w:leader="none"/>
              </w:tabs>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hint="eastAsia" w:ascii="宋体" w:hAnsi="宋体" w:cs="宋体"/>
                <w:color w:val="000000"/>
                <w:sz w:val="28"/>
              </w:rPr>
              <w:t xml:space="preserve">≧</w:t>
            </w:r>
            <w:r>
              <w:rPr>
                <w:rFonts w:eastAsia="仿宋"/>
                <w:color w:val="000000"/>
                <w:sz w:val="28"/>
              </w:rPr>
              <w:t xml:space="preserve">1.5m/s</w:t>
            </w:r>
            <w:r>
              <w:rPr>
                <w:color w:val="000000"/>
              </w:rPr>
            </w:r>
            <w:r/>
          </w:p>
        </w:tc>
      </w:tr>
      <w:tr>
        <w:trPr>
          <w:trHeight w:val="135"/>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停 站 数</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6/6/6 一台</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基      站</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1层</w:t>
            </w:r>
            <w:r>
              <w:rPr>
                <w:color w:val="000000"/>
              </w:rPr>
            </w:r>
            <w:r/>
          </w:p>
        </w:tc>
      </w:tr>
      <w:tr>
        <w:trPr>
          <w:trHeight w:val="9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     源</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1、动力电源(±10%):三相五线制，交流380V、50Hz；</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2、照明电源:单相交流220V、50Hz。</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6</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控制系统</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微机全数字化</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7</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拖动系统</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1、井道尺寸、提升高度（</w:t>
            </w:r>
            <w:r>
              <w:rPr>
                <w:rFonts w:eastAsia="仿宋"/>
                <w:b/>
                <w:color w:val="000000"/>
                <w:sz w:val="28"/>
              </w:rPr>
              <w:t xml:space="preserve">以投标人自行勘察现场数据为准</w:t>
            </w:r>
            <w:r>
              <w:rPr>
                <w:rFonts w:eastAsia="仿宋"/>
                <w:color w:val="000000"/>
                <w:sz w:val="28"/>
              </w:rPr>
              <w:t xml:space="preserve">）</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2、单双通：单通 </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3、曳引机：交流永磁同步无齿轮曳引机 </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4、控制方式：单控 </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5、操作系统：全电脑全集选方式 </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6、控制系统：模块化电脑软件控制系统，串行传输通讯网络系统 </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7、拖动系统：交流变频变压无级调速无齿拖动系统 </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8、门机：变压变频调速电脑控制交流驱动（无连杆）</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9、曳引机位置：电梯机房内</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8</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开门方式</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自动中分门</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9</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 类 型</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VVVF永磁门机</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10</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 保 护</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门光幕电器防护必须为原厂原品牌且防护等级</w:t>
            </w:r>
            <w:r>
              <w:rPr>
                <w:rFonts w:hint="eastAsia" w:ascii="宋体" w:hAnsi="宋体" w:cs="宋体"/>
                <w:color w:val="000000"/>
                <w:sz w:val="28"/>
              </w:rPr>
              <w:t xml:space="preserve">≧</w:t>
            </w:r>
            <w:r>
              <w:rPr>
                <w:rFonts w:eastAsia="仿宋"/>
                <w:color w:val="000000"/>
                <w:sz w:val="28"/>
              </w:rPr>
              <w:t xml:space="preserve">IP65、光幕束数量</w:t>
            </w:r>
            <w:r>
              <w:rPr>
                <w:rFonts w:hint="eastAsia" w:ascii="宋体" w:hAnsi="宋体" w:cs="宋体"/>
                <w:color w:val="000000"/>
                <w:sz w:val="28"/>
              </w:rPr>
              <w:t xml:space="preserve">≧</w:t>
            </w:r>
            <w:r>
              <w:rPr>
                <w:rFonts w:eastAsia="仿宋"/>
                <w:color w:val="000000"/>
                <w:sz w:val="28"/>
              </w:rPr>
              <w:t xml:space="preserve">190束</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11</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平层精度</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不大于：±5mm </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12</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轿厢及装潢</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（包括但</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不限于）</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1、轿厢两侧壁：304 发纹不锈钢 厚度</w:t>
            </w:r>
            <w:r>
              <w:rPr>
                <w:rFonts w:hint="eastAsia" w:ascii="宋体" w:hAnsi="宋体" w:cs="宋体"/>
                <w:color w:val="000000"/>
                <w:sz w:val="28"/>
              </w:rPr>
              <w:t xml:space="preserve">≧</w:t>
            </w:r>
            <w:r>
              <w:rPr>
                <w:rFonts w:eastAsia="仿宋"/>
                <w:color w:val="000000"/>
                <w:sz w:val="28"/>
              </w:rPr>
              <w:t xml:space="preserve">1.5mm</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2、轿厢后壁：304 发纹不锈钢 厚度</w:t>
            </w:r>
            <w:r>
              <w:rPr>
                <w:rFonts w:hint="eastAsia" w:ascii="宋体" w:hAnsi="宋体" w:cs="宋体"/>
                <w:color w:val="000000"/>
                <w:sz w:val="28"/>
              </w:rPr>
              <w:t xml:space="preserve">≧</w:t>
            </w:r>
            <w:r>
              <w:rPr>
                <w:rFonts w:eastAsia="仿宋"/>
                <w:color w:val="000000"/>
                <w:sz w:val="28"/>
              </w:rPr>
              <w:t xml:space="preserve">1.5mm轿厢后壁与开门等宽不锈钢全身镜；</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3、轿厢顶：发纹不锈钢+LED</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4、轿厢地板：天然大理石或蜂窝铝大理石地面。密度</w:t>
            </w:r>
            <w:r>
              <w:rPr>
                <w:rFonts w:hint="eastAsia" w:ascii="宋体" w:hAnsi="宋体" w:cs="宋体"/>
                <w:color w:val="000000"/>
                <w:sz w:val="28"/>
              </w:rPr>
              <w:t xml:space="preserve">≧</w:t>
            </w:r>
            <w:r>
              <w:rPr>
                <w:rFonts w:eastAsia="仿宋"/>
                <w:color w:val="000000"/>
                <w:sz w:val="28"/>
              </w:rPr>
              <w:t xml:space="preserve">2.6g/cm³，厚度</w:t>
            </w:r>
            <w:r>
              <w:rPr>
                <w:rFonts w:hint="eastAsia" w:ascii="宋体" w:hAnsi="宋体" w:cs="宋体"/>
                <w:color w:val="000000"/>
                <w:sz w:val="28"/>
              </w:rPr>
              <w:t xml:space="preserve">≧</w:t>
            </w:r>
            <w:r>
              <w:rPr>
                <w:rFonts w:eastAsia="仿宋"/>
                <w:color w:val="000000"/>
                <w:sz w:val="28"/>
              </w:rPr>
              <w:t xml:space="preserve">2cm。</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5、轿厢净高</w:t>
            </w:r>
            <w:r>
              <w:rPr>
                <w:rFonts w:hint="eastAsia" w:ascii="宋体" w:hAnsi="宋体" w:cs="宋体"/>
                <w:color w:val="000000"/>
                <w:sz w:val="28"/>
              </w:rPr>
              <w:t xml:space="preserve">≧</w:t>
            </w:r>
            <w:r>
              <w:rPr>
                <w:rFonts w:eastAsia="仿宋"/>
                <w:color w:val="000000"/>
                <w:sz w:val="28"/>
              </w:rPr>
              <w:t xml:space="preserve">2600mm</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6、轿门材质：304 发纹不锈钢 厚度</w:t>
            </w:r>
            <w:r>
              <w:rPr>
                <w:rFonts w:hint="eastAsia" w:ascii="宋体" w:hAnsi="宋体" w:cs="宋体"/>
                <w:color w:val="000000"/>
                <w:sz w:val="28"/>
              </w:rPr>
              <w:t xml:space="preserve">≧</w:t>
            </w:r>
            <w:r>
              <w:rPr>
                <w:rFonts w:eastAsia="仿宋"/>
                <w:color w:val="000000"/>
                <w:sz w:val="28"/>
              </w:rPr>
              <w:t xml:space="preserve">1.5mm</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7、通风设施：低噪音风机通风 </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8、通讯设施：隐藏式对讲装置 </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9、检修设施：轿顶检修</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10、梯内空调：配置轿内</w:t>
            </w:r>
            <w:r>
              <w:rPr>
                <w:rFonts w:hint="eastAsia" w:ascii="宋体" w:hAnsi="宋体" w:cs="宋体"/>
                <w:color w:val="000000"/>
                <w:sz w:val="28"/>
              </w:rPr>
              <w:t xml:space="preserve">≧</w:t>
            </w:r>
            <w:r>
              <w:rPr>
                <w:rFonts w:eastAsia="仿宋"/>
                <w:color w:val="000000"/>
                <w:sz w:val="28"/>
              </w:rPr>
              <w:t xml:space="preserve">一匹无水单冷空调1台</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13</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操 作 箱</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1、一整体式操纵箱 </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2、面板材料：304 发纹不锈钢 </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3、显示类型：</w:t>
            </w:r>
            <w:r>
              <w:rPr>
                <w:rFonts w:hint="eastAsia" w:ascii="宋体" w:hAnsi="宋体" w:cs="宋体"/>
                <w:color w:val="000000"/>
                <w:sz w:val="28"/>
              </w:rPr>
              <w:t xml:space="preserve">≧</w:t>
            </w:r>
            <w:r>
              <w:rPr>
                <w:rFonts w:eastAsia="仿宋"/>
                <w:color w:val="000000"/>
                <w:sz w:val="28"/>
              </w:rPr>
              <w:t xml:space="preserve">13英寸多媒体媒体液晶显示</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4、按钮类型：采用不锈钢按钮，带辉光高亮显示</w:t>
            </w:r>
            <w:r>
              <w:rPr>
                <w:color w:val="000000"/>
              </w:rPr>
            </w:r>
            <w:r/>
          </w:p>
        </w:tc>
      </w:tr>
      <w:tr>
        <w:trPr>
          <w:trHeight w:val="1445"/>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14</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厅门</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信号</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装置</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1、召唤盒形式：微触式按钮</w:t>
            </w:r>
            <w:r>
              <w:rPr>
                <w:color w:val="000000"/>
              </w:rPr>
            </w:r>
            <w:r/>
          </w:p>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2、楼层位置显示：LED显示，楼层位置及运行方向指示</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15</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厅门、小门套</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color w:val="000000"/>
                <w:sz w:val="28"/>
              </w:rPr>
              <w:t xml:space="preserve">304发纹不锈钢 厚度</w:t>
            </w:r>
            <w:r>
              <w:rPr>
                <w:rFonts w:hint="eastAsia" w:ascii="宋体" w:hAnsi="宋体" w:cs="宋体"/>
                <w:color w:val="000000"/>
                <w:sz w:val="28"/>
              </w:rPr>
              <w:t xml:space="preserve">≧</w:t>
            </w:r>
            <w:r>
              <w:rPr>
                <w:rFonts w:eastAsia="仿宋"/>
                <w:color w:val="000000"/>
                <w:sz w:val="28"/>
              </w:rPr>
              <w:t xml:space="preserve">1.5mm</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16</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厅外召唤</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各层均采用竖立式召唤箱，带指层数字型液晶显示，显示当前的轿厢位置和运行方向；具有上升与下降方向指示微触式按钮各一副。1层配置以钥匙操作电梯运行开关。</w:t>
            </w:r>
            <w:r>
              <w:rPr>
                <w:color w:val="000000"/>
              </w:rPr>
            </w:r>
            <w:r/>
          </w:p>
        </w:tc>
      </w:tr>
      <w:tr>
        <w:trPr>
          <w:trHeight w:val="442"/>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17</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应急功能</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轿厢紧急照明，火灾应急返回。</w:t>
            </w:r>
            <w:r>
              <w:rPr>
                <w:color w:val="000000"/>
              </w:rPr>
            </w:r>
            <w:r/>
          </w:p>
        </w:tc>
      </w:tr>
      <w:tr>
        <w:trPr>
          <w:trHeight w:val="421"/>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18</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通讯功能</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五方通话（机房到监控室的线缆）</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19</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控制柜</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控制柜主板原厂原品牌，并与所投电梯为同一品牌</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20</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电缆</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防缠绕型电梯专用的扁平电缆（随行电缆内含网线）</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21</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导靴</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滑动导靴</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22</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strike/>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节能系统</w:t>
            </w:r>
            <w:r>
              <w:rPr>
                <w:strike/>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 配置一体式能源再生变频器，最大电能回馈率不低于50%（</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color w:val="000000"/>
                <w:sz w:val="28"/>
              </w:rPr>
              <w:t xml:space="preserve">）。</w:t>
            </w:r>
            <w:r>
              <w:rPr>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23</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strike/>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曳引媒介检测系统</w:t>
            </w:r>
            <w:r>
              <w:rPr>
                <w:strike/>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strike/>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 电梯应当设有监测系统能实时检测每根承载体强度情况的装置，当检测到任一根承载体破断时，应当防止电梯的下一次正常启动。（</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color w:val="000000"/>
                <w:sz w:val="28"/>
              </w:rPr>
              <w:t xml:space="preserve">）。</w:t>
            </w:r>
            <w:r>
              <w:rPr>
                <w:strike/>
                <w:color w:val="000000"/>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24</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门装置</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360" w:lineRule="auto"/>
              <w:tabs>
                <w:tab w:val="left" w:pos="1080" w:leader="none"/>
              </w:tabs>
              <w:rPr>
                <w:rFonts w:eastAsia="仿宋"/>
                <w:color w:val="000000"/>
                <w:sz w:val="28"/>
                <w:szCs w:val="28"/>
              </w:rPr>
            </w:pPr>
            <w:r>
              <w:rPr>
                <w:rFonts w:eastAsia="仿宋"/>
                <w:color w:val="000000"/>
                <w:sz w:val="28"/>
              </w:rPr>
              <w:t xml:space="preserve">▲  </w:t>
            </w:r>
            <w:r>
              <w:rPr>
                <w:rFonts w:hint="eastAsia" w:eastAsia="仿宋"/>
                <w:color w:val="000000"/>
                <w:sz w:val="28"/>
              </w:rPr>
              <w:t xml:space="preserve">1、</w:t>
            </w:r>
            <w:r>
              <w:rPr>
                <w:rFonts w:eastAsia="仿宋"/>
                <w:color w:val="000000"/>
                <w:sz w:val="28"/>
                <w:szCs w:val="28"/>
              </w:rPr>
              <w:t xml:space="preserve">轿门开门装置动作寿命（开门加关门算一次）达到2000万次及以上。（</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color w:val="000000"/>
                <w:sz w:val="28"/>
                <w:szCs w:val="28"/>
              </w:rPr>
              <w:t xml:space="preserve">）</w:t>
            </w:r>
            <w:r>
              <w:rPr>
                <w:rFonts w:eastAsia="仿宋"/>
                <w:color w:val="000000"/>
                <w:sz w:val="28"/>
                <w:szCs w:val="28"/>
              </w:rPr>
            </w:r>
            <w:r/>
          </w:p>
          <w:p>
            <w:pPr>
              <w:pStyle w:val="678"/>
              <w:spacing w:line="360" w:lineRule="auto"/>
              <w:tabs>
                <w:tab w:val="left" w:pos="1080" w:leader="none"/>
              </w:tabs>
              <w:rPr>
                <w:rFonts w:eastAsia="仿宋"/>
                <w:color w:val="000000"/>
                <w:sz w:val="28"/>
                <w:szCs w:val="28"/>
              </w:rPr>
            </w:pPr>
            <w:r>
              <w:rPr>
                <w:rFonts w:eastAsia="仿宋"/>
                <w:color w:val="000000"/>
                <w:sz w:val="28"/>
              </w:rPr>
              <w:t xml:space="preserve">▲  </w:t>
            </w:r>
            <w:r>
              <w:rPr>
                <w:rFonts w:hint="eastAsia" w:eastAsia="仿宋"/>
                <w:color w:val="000000"/>
                <w:sz w:val="28"/>
              </w:rPr>
              <w:t xml:space="preserve">2、</w:t>
            </w:r>
            <w:r>
              <w:rPr>
                <w:rFonts w:eastAsia="仿宋"/>
                <w:color w:val="000000"/>
                <w:sz w:val="28"/>
              </w:rPr>
              <w:t xml:space="preserve">层门地坎</w:t>
            </w:r>
            <w:r>
              <w:rPr>
                <w:rFonts w:eastAsia="仿宋"/>
                <w:color w:val="000000"/>
                <w:sz w:val="28"/>
                <w:szCs w:val="28"/>
              </w:rPr>
              <w:t xml:space="preserve">在18000N作用力下，地坎弹性变形＜</w:t>
            </w:r>
            <w:r>
              <w:rPr>
                <w:rFonts w:hint="eastAsia" w:eastAsia="仿宋"/>
                <w:color w:val="000000"/>
                <w:sz w:val="28"/>
                <w:szCs w:val="28"/>
              </w:rPr>
              <w:t xml:space="preserve">5</w:t>
            </w:r>
            <w:r>
              <w:rPr>
                <w:rFonts w:eastAsia="仿宋"/>
                <w:color w:val="000000"/>
                <w:sz w:val="28"/>
                <w:szCs w:val="28"/>
              </w:rPr>
              <w:t xml:space="preserve">mm和永久变形＜1mm（</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color w:val="000000"/>
                <w:sz w:val="28"/>
                <w:szCs w:val="28"/>
              </w:rPr>
              <w:t xml:space="preserve">）</w:t>
            </w:r>
            <w:r>
              <w:rPr>
                <w:rFonts w:eastAsia="仿宋"/>
                <w:color w:val="000000"/>
                <w:sz w:val="28"/>
                <w:szCs w:val="28"/>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rFonts w:eastAsia="仿宋"/>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25</w:t>
            </w:r>
            <w:r>
              <w:rPr>
                <w:rFonts w:eastAsia="仿宋"/>
                <w:color w:val="000000"/>
                <w:sz w:val="28"/>
              </w:rPr>
            </w:r>
            <w:r/>
          </w:p>
        </w:tc>
        <w:tc>
          <w:tcPr>
            <w:tcMar>
              <w:left w:w="108" w:type="dxa"/>
              <w:top w:w="0" w:type="dxa"/>
              <w:right w:w="108" w:type="dxa"/>
              <w:bottom w:w="0" w:type="dxa"/>
            </w:tcMar>
            <w:tcW w:w="1958" w:type="dxa"/>
            <w:vAlign w:val="center"/>
            <w:textDirection w:val="lrTb"/>
            <w:noWrap w:val="false"/>
          </w:tcPr>
          <w:p>
            <w:pPr>
              <w:pStyle w:val="678"/>
              <w:spacing w:line="519" w:lineRule="atLeast"/>
              <w:rPr>
                <w:rFonts w:eastAsia="仿宋"/>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轿底强度试验</w:t>
            </w:r>
            <w:r>
              <w:rPr>
                <w:rFonts w:eastAsia="仿宋"/>
                <w:color w:val="000000"/>
                <w:sz w:val="28"/>
              </w:rPr>
            </w:r>
            <w:r/>
          </w:p>
        </w:tc>
        <w:tc>
          <w:tcPr>
            <w:tcMar>
              <w:left w:w="108" w:type="dxa"/>
              <w:top w:w="0" w:type="dxa"/>
              <w:right w:w="108" w:type="dxa"/>
              <w:bottom w:w="0" w:type="dxa"/>
            </w:tcMar>
            <w:tcW w:w="6402" w:type="dxa"/>
            <w:vAlign w:val="center"/>
            <w:textDirection w:val="lrTb"/>
            <w:noWrap w:val="false"/>
          </w:tcPr>
          <w:p>
            <w:pPr>
              <w:pStyle w:val="678"/>
              <w:spacing w:line="360" w:lineRule="auto"/>
              <w:tabs>
                <w:tab w:val="left" w:pos="1080" w:leader="none"/>
              </w:tabs>
              <w:rPr>
                <w:rFonts w:eastAsia="仿宋"/>
                <w:color w:val="000000"/>
                <w:sz w:val="28"/>
              </w:rPr>
            </w:pPr>
            <w:r>
              <w:rPr>
                <w:rFonts w:eastAsia="仿宋"/>
                <w:color w:val="000000"/>
                <w:sz w:val="28"/>
              </w:rPr>
              <w:t xml:space="preserve">▲  在轿底两点共施加250kg作用力下轿底平台实际永久变形＜0.3mm（</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color w:val="000000"/>
                <w:sz w:val="28"/>
                <w:szCs w:val="28"/>
              </w:rPr>
              <w:t xml:space="preserve">）</w:t>
            </w:r>
            <w:r>
              <w:rPr>
                <w:rFonts w:eastAsia="仿宋"/>
                <w:color w:val="000000"/>
                <w:sz w:val="28"/>
              </w:rPr>
            </w:r>
            <w:r/>
          </w:p>
        </w:tc>
      </w:tr>
      <w:tr>
        <w:trPr>
          <w:trHeight w:val="340"/>
        </w:trPr>
        <w:tc>
          <w:tcPr>
            <w:tcMar>
              <w:left w:w="108" w:type="dxa"/>
              <w:top w:w="0" w:type="dxa"/>
              <w:right w:w="108" w:type="dxa"/>
              <w:bottom w:w="0" w:type="dxa"/>
            </w:tcMar>
            <w:tcW w:w="92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26</w:t>
            </w:r>
            <w:r>
              <w:rPr>
                <w:color w:val="000000"/>
              </w:rPr>
            </w:r>
            <w:r/>
          </w:p>
        </w:tc>
        <w:tc>
          <w:tcPr>
            <w:tcMar>
              <w:left w:w="108" w:type="dxa"/>
              <w:top w:w="0" w:type="dxa"/>
              <w:right w:w="108" w:type="dxa"/>
              <w:bottom w:w="0" w:type="dxa"/>
            </w:tcMar>
            <w:tcW w:w="1958" w:type="dxa"/>
            <w:vAlign w:val="center"/>
            <w:textDirection w:val="lrTb"/>
            <w:noWrap w:val="false"/>
          </w:tcPr>
          <w:p>
            <w:pPr>
              <w:pStyle w:val="678"/>
              <w:spacing w:line="519" w:lineRule="atLeast"/>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安全部件</w:t>
            </w:r>
            <w:r>
              <w:rPr>
                <w:color w:val="000000"/>
              </w:rPr>
            </w:r>
            <w:r/>
          </w:p>
        </w:tc>
        <w:tc>
          <w:tcPr>
            <w:tcMar>
              <w:left w:w="108" w:type="dxa"/>
              <w:top w:w="0" w:type="dxa"/>
              <w:right w:w="108" w:type="dxa"/>
              <w:bottom w:w="0" w:type="dxa"/>
            </w:tcMar>
            <w:tcW w:w="6402" w:type="dxa"/>
            <w:vAlign w:val="center"/>
            <w:textDirection w:val="lrTb"/>
            <w:noWrap w:val="false"/>
          </w:tcPr>
          <w:p>
            <w:pPr>
              <w:pStyle w:val="678"/>
              <w:spacing w:line="519" w:lineRule="atLeast"/>
              <w:rPr>
                <w:rFonts w:eastAsia="仿宋"/>
                <w:b/>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  </w:t>
            </w:r>
            <w:r>
              <w:rPr>
                <w:rFonts w:hint="eastAsia" w:eastAsia="仿宋"/>
                <w:color w:val="000000"/>
                <w:sz w:val="28"/>
              </w:rPr>
              <w:t xml:space="preserve">1</w:t>
            </w:r>
            <w:r>
              <w:rPr>
                <w:rFonts w:eastAsia="仿宋"/>
                <w:color w:val="000000"/>
                <w:sz w:val="28"/>
              </w:rPr>
              <w:t xml:space="preserve">、安全钳模拟极限寿命≥20 年。</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b/>
                <w:color w:val="000000"/>
                <w:sz w:val="28"/>
              </w:rPr>
            </w:r>
            <w:r/>
          </w:p>
          <w:p>
            <w:pPr>
              <w:pStyle w:val="678"/>
              <w:spacing w:line="519" w:lineRule="atLeast"/>
              <w:rPr>
                <w:rFonts w:eastAsia="仿宋"/>
                <w:b/>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  </w:t>
            </w:r>
            <w:r>
              <w:rPr>
                <w:rFonts w:hint="eastAsia" w:eastAsia="仿宋"/>
                <w:color w:val="000000"/>
                <w:sz w:val="28"/>
              </w:rPr>
              <w:t xml:space="preserve">2</w:t>
            </w:r>
            <w:r>
              <w:rPr>
                <w:rFonts w:eastAsia="仿宋"/>
                <w:color w:val="000000"/>
                <w:sz w:val="28"/>
              </w:rPr>
              <w:t xml:space="preserve">、限速器模拟极限寿命≥20 年。</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b/>
                <w:color w:val="000000"/>
                <w:sz w:val="28"/>
              </w:rPr>
            </w:r>
            <w:r/>
          </w:p>
          <w:p>
            <w:pPr>
              <w:pStyle w:val="678"/>
              <w:spacing w:line="519" w:lineRule="atLeast"/>
              <w:rPr>
                <w:rFonts w:eastAsia="仿宋"/>
                <w:b/>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  </w:t>
            </w:r>
            <w:r>
              <w:rPr>
                <w:rFonts w:hint="eastAsia" w:eastAsia="仿宋"/>
                <w:color w:val="000000"/>
                <w:sz w:val="28"/>
              </w:rPr>
              <w:t xml:space="preserve">3</w:t>
            </w:r>
            <w:r>
              <w:rPr>
                <w:rFonts w:eastAsia="仿宋"/>
                <w:color w:val="000000"/>
                <w:sz w:val="28"/>
              </w:rPr>
              <w:t xml:space="preserve">、缓冲器模拟极限寿命≥20 年。</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b/>
                <w:color w:val="000000"/>
                <w:sz w:val="28"/>
              </w:rPr>
            </w:r>
            <w:r/>
          </w:p>
          <w:p>
            <w:pPr>
              <w:pStyle w:val="678"/>
              <w:spacing w:line="519" w:lineRule="atLeast"/>
              <w:rPr>
                <w:rFonts w:eastAsia="仿宋"/>
                <w:b/>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  </w:t>
            </w:r>
            <w:r>
              <w:rPr>
                <w:rFonts w:hint="eastAsia" w:eastAsia="仿宋"/>
                <w:color w:val="000000"/>
                <w:sz w:val="28"/>
              </w:rPr>
              <w:t xml:space="preserve">4</w:t>
            </w:r>
            <w:r>
              <w:rPr>
                <w:rFonts w:eastAsia="仿宋"/>
                <w:color w:val="000000"/>
                <w:sz w:val="28"/>
              </w:rPr>
              <w:t xml:space="preserve">、轿厢内加载至215%的额定荷载后，停靠在最低层平层位置保持90 min后，主机制动器各部件应完好，曳引轮不转动，悬挂装置无打滑现象，轿厢不能发生明显位移，制动器应保持良好的静态制动性能</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b/>
                <w:color w:val="000000"/>
                <w:sz w:val="28"/>
              </w:rPr>
            </w:r>
            <w:r/>
          </w:p>
          <w:p>
            <w:pPr>
              <w:pStyle w:val="678"/>
              <w:spacing w:line="519" w:lineRule="atLeast"/>
              <w:rPr>
                <w:rFonts w:eastAsia="仿宋"/>
                <w:b/>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  </w:t>
            </w:r>
            <w:r>
              <w:rPr>
                <w:rFonts w:hint="eastAsia" w:eastAsia="仿宋"/>
                <w:color w:val="000000"/>
                <w:sz w:val="28"/>
              </w:rPr>
              <w:t xml:space="preserve">5</w:t>
            </w:r>
            <w:r>
              <w:rPr>
                <w:rFonts w:eastAsia="仿宋"/>
                <w:color w:val="000000"/>
                <w:sz w:val="28"/>
              </w:rPr>
              <w:t xml:space="preserve">、限位开关疲劳耐久次数≥1500万次</w:t>
            </w:r>
            <w:r>
              <w:rPr>
                <w:rFonts w:eastAsia="仿宋"/>
                <w:b/>
                <w:color w:val="000000"/>
                <w:sz w:val="28"/>
              </w:rPr>
              <w:t xml:space="preserve">（提供具有 CMA认证或CNAS 认证的第三方检测机构出具的检测报告扫描件加盖投标单位电子签章，不提供作负偏离处理）。</w:t>
            </w:r>
            <w:r>
              <w:rPr>
                <w:rFonts w:eastAsia="仿宋"/>
                <w:b/>
                <w:color w:val="000000"/>
                <w:sz w:val="28"/>
              </w:rPr>
            </w:r>
            <w:r/>
          </w:p>
        </w:tc>
      </w:tr>
    </w:tbl>
    <w:p>
      <w:pPr>
        <w:pStyle w:val="678"/>
        <w:rPr>
          <w:rFonts w:ascii="Segoe UI Symbol" w:hAnsi="Segoe UI Symbol" w:eastAsia="仿宋" w:cs="Segoe UI Symbol"/>
          <w:color w:val="000000"/>
          <w:sz w:val="28"/>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r>
      <w:r/>
    </w:p>
    <w:p>
      <w:pPr>
        <w:pStyle w:val="678"/>
        <w:rPr>
          <w:color w:val="000000"/>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color w:val="000000"/>
          <w:sz w:val="28"/>
        </w:rPr>
        <w:t xml:space="preserve">★</w:t>
      </w:r>
      <w:r>
        <w:rPr>
          <w:rFonts w:eastAsia="仿宋"/>
          <w:b/>
          <w:color w:val="000000"/>
          <w:sz w:val="28"/>
        </w:rPr>
        <w:t xml:space="preserve">2、功能表（投标人需承诺提供的电梯应包括但不限于下列功能内容。提供承诺函并加盖电子签章，未提供的按无效投标处理）</w:t>
      </w:r>
      <w:r>
        <w:rPr>
          <w:color w:val="000000"/>
        </w:rPr>
      </w:r>
      <w:r/>
    </w:p>
    <w:tbl>
      <w:tblPr>
        <w:tblW w:w="914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1984"/>
        <w:gridCol w:w="6096"/>
      </w:tblGrid>
      <w:tr>
        <w:trPr>
          <w:trHeight w:val="529"/>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序号</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功能名称</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功能说明</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全集选</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电梯对大楼内上、下召唤信号、轿内选层指令及各种信号进行综合分析判断后，将自动优选与电梯运行方向一致的信号进行依次应答。</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并联/单控控制运行功能</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并联控制状态下，在无召唤指令时，一台电梯将停在基站关门待机，另一台电梯将停在并联中间层楼或其他层站关门待机；在有厅外召唤指令登记时，电梯系统将分配给最合适的电梯立刻应答。</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满载直驶</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当轿厢内载荷达到满载预设值时，即进入满载直驶状态，电梯将不再应答厅外召唤而直接响应轿内指令直达指定楼层。</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超载保护</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当轿厢的载重量超出额定允许的载重时，超载蜂鸣器会鸣响以提示超载。此时显示超载，轿厢不关门，电梯不能起动。</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终端楼层保护</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当电梯运行到终端楼层时，运行速度没有减至预设值时，系统将强迫减速，保护电梯的安全运行。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6</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重新初始化运行</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当电源因中断而恢复后，电梯位置信号未能保留或不能确定轿厢位置时，电梯将驶向端站重新定位。定位后位置显示器显示电梯所在的层楼位置，并恢复正常运行。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7</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数字式大厅/轿内显示</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在轿内的操纵面板及每层楼的大厅召唤盒上随时显示电梯所在层站，以方便乘客了解电梯当前运行位置。</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8</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轿顶检修</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电梯轿顶设有检修箱，使检修维护更为安全快捷。</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9</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轿厢内应急照明</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当照明电源断电时，立即提供满足最低要求的轿厢照明</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10</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内部通话装置</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用于在特殊情况下通过设置在轿厢操纵面板上的，轿顶上的，轿底的对讲装置保持与顶层或监控中心的语音联系，且顶层与监控中心也能语音联系。</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11</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轿内警铃</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供在特殊情况下乘客通过按动轿厢内报警按钮，及时通知外界。</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12</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轿内反向指令消除</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当电梯沿途响应完最后一个轿内指令或层站召唤后，系统自动检查并消除余下的轿内指令</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13</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取消错误呼叫功能</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如果按错轿厢内选层按钮，在0.3~1.0秒内再连续两次按此按钮，登录可以被取消。</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14</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光幕门保护</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专用光幕门保护系统增强了电梯的安全性，系统可在电梯门口形成密集的红外交叉光幕，对于任何进入其探测区域的人或物体都能做出敏锐的反应，为进出的乘客提供最大程度的安全保护。</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15</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自动泊梯</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群控组内电梯在大楼内所有电梯均处于空闲状态时，会自动停泊于大楼的不同层楼以提高电梯组对召唤的响应速度。</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16</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轿厢关门保护</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当轿厢门不能完全关闭时，门反向开启</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17</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开、关门按钮</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电梯轿厢操纵面板上设有控制开关门的微动按钮，以方便乘客根据需要灵活掌握开关门的时间。</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18</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本层厅外开门</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在正常关门过程中，厅外与电梯同向的召唤按钮被按下时，电梯将重新开门。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19</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关门力矩保护</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当关门时受到反向阻力，超过预设的力矩值时，电梯将重新开门。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20</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关门等待取消</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自动状态下，在门保持全开状态并且处于开门延时阶段时，按关门按钮可立即执行提前关门。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21</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停梯开关</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即驻停开关，当设置在指定楼层的钥匙开关动作后，电梯将在应答完所有指令后返回指定层楼，同时将启用节能模式，切断轿内照明并点亮厅外停梯开关指示灯。</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22</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启动时力矩补偿</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为使电梯起动时获得更好的舒适感，系统对轿厢内载荷进行计算，并通过起动时的力矩补偿给予优化。</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23</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轿内风扇照明控制</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在没有接到任何操作指令的情况下，电梯在关门后的预定时间内，将进入节能模式，关闭轿内的照明和风扇</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24</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厅外及轿内方向指示</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为方便乘客了解电梯的运行方向，在轿内操纵面板和厅外召唤面板上有箭头状指示灯提示运行方向。</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25</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紧急消防操作</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大楼发生火警时，系统在接收到火警信号后，将取消所有指令和召唤信号，驱动电梯直接返回消防层，开门疏散乘客，等待消防员操作。</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26</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五方对讲</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监控中心、机房、轿厢、轿顶、地坑五方语音对讲通讯</w:t>
            </w:r>
            <w:r>
              <w:rPr>
                <w:color w:val="000000"/>
              </w:rPr>
            </w:r>
            <w:r/>
          </w:p>
        </w:tc>
      </w:tr>
      <w:tr>
        <w:trPr>
          <w:trHeight w:val="505"/>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27</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轿门锁</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电梯运行中或停止于平层区外时，如果有人在轿箱内强行扒门，则蜂鸣器发出连续的报警声以示警告。如果报警声已经响起，乘客却继续扒门，导致门被打开，则电梯将保护性停止，直到确认门关上后再启动。</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28</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防捣乱功能</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轿箱内载重量在100公斤以下，却有4个以上的轿厢按钮被呼叫时，则会取消所有轿厢呼叫。</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29</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门的异常检测装置</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轿门在预定时间内应开而不开或不完全开启时，轿厢自动关门，再应答其他呼叫。轿门在预定时间内应关而未能关闭时，将会重复关门动作以清除门坎上的障碍物。</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30</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停用运转</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通过指定楼层呼梯按钮上钥匙开关进行停梯操作。</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31</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视频电缆(轿厢至控制柜)</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随行电缆内应有一条视频电缆用于接入视频输入、输出设备。</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32</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预留消防联动接口</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电梯控制柜预留消防联动接线口或接线柱</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33</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层高自测定</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电梯能进行井道自学习，可精确的测量楼层高度。标配自动平层功能</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34</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电动机空转保护</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当钢丝绳/钢带打滑时，电梯能有效检测并停止运行。</w:t>
            </w:r>
            <w:r>
              <w:rPr>
                <w:color w:val="000000"/>
              </w:rPr>
            </w:r>
            <w:r/>
          </w:p>
        </w:tc>
      </w:tr>
      <w:tr>
        <w:trPr>
          <w:trHeight w:val="720"/>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35</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位置异常自动校正</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当轿厢位置或显示楼层出现偏差，电梯会通过到达一次端层后自动校正偏差。标配防轿厢意外移动功能。</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36</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电源相位故障检测</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电源欠相或错相时禁止电梯运行。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37</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检修及紧急电动运行</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在轿顶及机房设置检修和紧急电动运行操作开关，检修运行状态时只能通过手动点击检修操作开关进行电梯慢速上下行运行。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38</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运行故障历史纪录</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电梯能将处理器检测出的故障存储到存储器中，便于维保人员调用。</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39</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故障自动检测</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电梯通过软件能自动检测出故障点，使维保人员更快捷的排除故障。</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40</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安全停靠</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电梯因故停在门区外,如经自检能启动,就近平层开门</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41</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消防功能</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智能化设备报警，自动降至首层，放出乘客后不在响应任何外呼</w:t>
            </w:r>
            <w:r>
              <w:rPr>
                <w:color w:val="000000"/>
              </w:rPr>
            </w:r>
            <w:r/>
          </w:p>
        </w:tc>
      </w:tr>
      <w:tr>
        <w:trPr>
          <w:trHeight w:val="534"/>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42</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消防功能</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消防状态下，消防功能可使用电梯到达基层</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43</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消防警铃</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智能化设备报警，自动降至首层并发出火灾警报提示</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44</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电机过热保护装置</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电机温度过高, 电梯就近平层开门，等待电机降温后恢复工作。</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45</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超速保护装置</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电梯超速,使电梯降低到安全速度并最终停止的装置</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46</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极限保护装置</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防止电梯冲顶或蹲底</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47</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逆变散热器高温检测</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当逆变装置温度超过设定值时，电梯轿厢将就近停层，让乘客出来。冷却后电梯正常运行</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48</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门位置开关</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轿门的门机需配置独立限位开关</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49</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安全钳安全触点</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安全钳内的安全开关反馈安全钳工作状况</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50</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限速器安全触点</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限速器装有安全触点，如果速度超过允许值时会使电梯停止</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51</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抱闸动作的双安全检测</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正反方向抱闸制动曳引机</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52</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驻停（泊梯）功能</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首层设锁梯开关</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53</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轿门门机</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变压变频调速电脑控制交流驱动（无连杆）</w:t>
            </w:r>
            <w:r>
              <w:rPr>
                <w:color w:val="000000"/>
              </w:rPr>
            </w:r>
            <w:r/>
          </w:p>
        </w:tc>
      </w:tr>
      <w:tr>
        <w:trPr/>
        <w:tc>
          <w:tcPr>
            <w:tcMar>
              <w:left w:w="108" w:type="dxa"/>
              <w:top w:w="0" w:type="dxa"/>
              <w:right w:w="108" w:type="dxa"/>
              <w:bottom w:w="0" w:type="dxa"/>
            </w:tcMar>
            <w:tcW w:w="1067" w:type="dxa"/>
            <w:vAlign w:val="center"/>
            <w:textDirection w:val="lrTb"/>
            <w:noWrap w:val="false"/>
          </w:tcPr>
          <w:p>
            <w:pPr>
              <w:pStyle w:val="678"/>
              <w:spacing w:before="210" w:after="160" w:line="400" w:lineRule="atLeast"/>
              <w:tabs>
                <w:tab w:val="left" w:pos="2020" w:leader="none"/>
                <w:tab w:val="left" w:pos="4535" w:leader="none"/>
              </w:tabs>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54</w:t>
            </w:r>
            <w:r>
              <w:rPr>
                <w:color w:val="000000"/>
              </w:rPr>
            </w:r>
            <w:r/>
          </w:p>
        </w:tc>
        <w:tc>
          <w:tcPr>
            <w:tcMar>
              <w:left w:w="108" w:type="dxa"/>
              <w:top w:w="0" w:type="dxa"/>
              <w:right w:w="108" w:type="dxa"/>
              <w:bottom w:w="0" w:type="dxa"/>
            </w:tcMar>
            <w:tcW w:w="1984" w:type="dxa"/>
            <w:vAlign w:val="center"/>
            <w:textDirection w:val="lrTb"/>
            <w:noWrap w:val="false"/>
          </w:tcPr>
          <w:p>
            <w:pPr>
              <w:pStyle w:val="678"/>
              <w:spacing w:before="210" w:after="210"/>
              <w:rPr>
                <w:color w:val="000000"/>
              </w:rPr>
              <w:pBdr>
                <w:top w:val="none" w:color="000000" w:sz="0" w:space="0"/>
                <w:left w:val="none" w:color="000000" w:sz="0" w:space="0"/>
                <w:bottom w:val="none" w:color="000000" w:sz="0" w:space="0"/>
                <w:right w:val="none" w:color="000000" w:sz="0" w:space="0"/>
              </w:pBdr>
            </w:pPr>
            <w:r>
              <w:rPr>
                <w:rFonts w:eastAsia="仿宋"/>
                <w:color w:val="000000"/>
                <w:sz w:val="28"/>
              </w:rPr>
              <w:t xml:space="preserve">物联网</w:t>
            </w:r>
            <w:r>
              <w:rPr>
                <w:color w:val="000000"/>
              </w:rPr>
            </w:r>
            <w:r/>
          </w:p>
        </w:tc>
        <w:tc>
          <w:tcPr>
            <w:tcMar>
              <w:left w:w="108" w:type="dxa"/>
              <w:top w:w="0" w:type="dxa"/>
              <w:right w:w="108" w:type="dxa"/>
              <w:bottom w:w="0" w:type="dxa"/>
            </w:tcMar>
            <w:tcW w:w="6096" w:type="dxa"/>
            <w:vAlign w:val="center"/>
            <w:textDirection w:val="lrTb"/>
            <w:noWrap w:val="false"/>
          </w:tcPr>
          <w:p>
            <w:pPr>
              <w:pStyle w:val="678"/>
              <w:spacing w:before="210" w:after="160" w:line="400" w:lineRule="atLeast"/>
              <w:tabs>
                <w:tab w:val="left" w:pos="2020" w:leader="none"/>
                <w:tab w:val="left" w:pos="4535" w:leader="none"/>
              </w:tabs>
              <w:rPr>
                <w:rFonts w:eastAsia="仿宋"/>
                <w:color w:val="000000"/>
                <w:sz w:val="28"/>
              </w:rPr>
              <w:pBdr>
                <w:top w:val="none" w:color="000000" w:sz="0" w:space="0"/>
                <w:left w:val="none" w:color="000000" w:sz="0" w:space="0"/>
                <w:bottom w:val="none" w:color="000000" w:sz="0" w:space="0"/>
                <w:right w:val="none" w:color="000000" w:sz="0" w:space="0"/>
              </w:pBdr>
            </w:pPr>
            <w:r>
              <w:rPr>
                <w:rFonts w:eastAsia="仿宋"/>
                <w:color w:val="000000"/>
                <w:sz w:val="28"/>
              </w:rPr>
              <w:t xml:space="preserve">实时监测电梯运行状态，可实现预防性维护</w:t>
            </w:r>
            <w:r>
              <w:rPr>
                <w:rFonts w:eastAsia="仿宋"/>
                <w:color w:val="000000"/>
                <w:sz w:val="28"/>
              </w:rPr>
            </w:r>
            <w:r/>
          </w:p>
        </w:tc>
      </w:tr>
    </w:tbl>
    <w:p>
      <w:pPr>
        <w:pStyle w:val="678"/>
        <w:spacing w:line="560" w:lineRule="exact"/>
        <w:rPr>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二</w:t>
      </w:r>
      <w:r>
        <w:rPr>
          <w:rFonts w:ascii="仿宋" w:hAnsi="仿宋" w:eastAsia="仿宋" w:cs="仿宋"/>
          <w:b/>
          <w:color w:val="000000"/>
          <w:sz w:val="28"/>
        </w:rPr>
        <w:t xml:space="preserve">、本次投标报价为工程总价包干价格，包含但不限于以下内容</w:t>
      </w:r>
      <w:r>
        <w:rPr>
          <w:color w:val="000000"/>
        </w:rPr>
      </w:r>
      <w:r/>
    </w:p>
    <w:p>
      <w:pPr>
        <w:pStyle w:val="678"/>
        <w:ind w:firstLine="567"/>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1、本项目为交钥匙工程，包括井道内电梯设备安装调试、设备的设计、制造、专利、设备和材料的价格、装潢（含效果图）、随设备提供的备用品配件及专用工具的价格、包装费、运杂费（运抵甲方工地现场）、保险费（运输、安装、人身等）、各层门大门套费保护费用等。</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2、资料费、辅材费（含预埋件等所有辅材的购置、加工、安装费用）、井道内脚手架等设施费用、安装费（人工和机械设备等费用）、调试费、砝码租赁费（含往来运费）、政府主管部门各项规费（当地特种设备监督检验部门监督、检测和验收等直至领取运行合格证交付使用前的全部费用）。</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3、操作维护人员培训费、维保服务费、利润、货物本身已支付或将支付的关税、增值税和其他税费等为完成本项工程供货、安装、维保等工作所必需的各种费用，以及合同明示或暗示的风险、责任和义务等费用。中标后不得追加任何费用。</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4、报价表中没有具体报价的费用必须包含在投标总价中。投标人应按照采购人提供的图纸、技术资料及招标文件规定的格式和要求完整填报单价、合价及总价。投标人在报价中未报或少报的费用，视为对采购人的优惠并已包括在投标总价中。采购人将不予承担。涉及第三方的未报或少报的费用，仍由投标人承担并支付，投标人不愿支付的，该费用由采购人代扣代付。投标人应充分考虑合同风险和制造、安装施工期间各类材料市场的风险以及国家政策性调整风险系数，并计入总价，中标价一经确认均不得调整。</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投标人必须代甲方办理电梯检测手续和领取电梯使用登记标志及质监站验收合格等所有手续，所发生的费用包含在合同总价中，由投标人自行支付。投标人应充分考虑制造、安装施工期间各类材料市场的风险和国家政策性调整风险系数，并计入总价，中标价不得调整。</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5、投标人在报价中还应包含但不限于以下内容的费用，如不含视为已包含，结算时不予变更：</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（1）电梯机房内动力配电箱至电梯电源箱之间的连接电源跨线等相关材料采购及安装等；</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（2）电梯机房内应设置干粉灭火器采购及安装，应符合国家验收标准要求；</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（3）电梯的外包装箱由中标单位清除出场，做到安装完工后清场；</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（4）电梯单位在电梯验收合格、取得特种设备使用标志前，自行负责相关设备、材料的保管。</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6、中标人应及时提供预埋件，负责预埋施工并承担相应的费用，该费用包含在投标报价中，采购人不再另行支付</w:t>
      </w:r>
      <w:bookmarkStart w:id="36" w:name="OLE_LINK10"/>
      <w:r/>
      <w:bookmarkStart w:id="37" w:name="OLE_LINK11"/>
      <w:r>
        <w:rPr>
          <w:rFonts w:ascii="仿宋" w:hAnsi="仿宋" w:eastAsia="仿宋"/>
          <w:color w:val="000000"/>
          <w:sz w:val="28"/>
          <w:szCs w:val="28"/>
        </w:rPr>
        <w:t xml:space="preserve">。</w:t>
      </w:r>
      <w:bookmarkEnd w:id="36"/>
      <w:r/>
      <w:bookmarkEnd w:id="37"/>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7、该项目现场施工条件复杂，投标人</w:t>
      </w:r>
      <w:r>
        <w:rPr>
          <w:rFonts w:hint="eastAsia" w:ascii="仿宋" w:hAnsi="仿宋" w:eastAsia="仿宋"/>
          <w:color w:val="000000"/>
          <w:sz w:val="28"/>
          <w:szCs w:val="28"/>
        </w:rPr>
        <w:t xml:space="preserve">如需</w:t>
      </w:r>
      <w:r>
        <w:rPr>
          <w:rFonts w:ascii="仿宋" w:hAnsi="仿宋" w:eastAsia="仿宋"/>
          <w:color w:val="000000"/>
          <w:sz w:val="28"/>
          <w:szCs w:val="28"/>
        </w:rPr>
        <w:t xml:space="preserve">查看现场，</w:t>
      </w:r>
      <w:r>
        <w:rPr>
          <w:rFonts w:hint="eastAsia" w:ascii="仿宋" w:hAnsi="仿宋" w:eastAsia="仿宋"/>
          <w:color w:val="000000"/>
          <w:sz w:val="28"/>
          <w:szCs w:val="28"/>
        </w:rPr>
        <w:t xml:space="preserve">请</w:t>
      </w:r>
      <w:r>
        <w:rPr>
          <w:rFonts w:ascii="仿宋" w:hAnsi="仿宋" w:eastAsia="仿宋"/>
          <w:color w:val="000000"/>
          <w:sz w:val="28"/>
          <w:szCs w:val="28"/>
        </w:rPr>
        <w:t xml:space="preserve">联系淮安市港航中心办公室</w:t>
      </w:r>
      <w:r>
        <w:rPr>
          <w:rFonts w:hint="eastAsia" w:ascii="仿宋" w:hAnsi="仿宋" w:eastAsia="仿宋"/>
          <w:color w:val="000000"/>
          <w:sz w:val="28"/>
          <w:szCs w:val="28"/>
        </w:rPr>
        <w:t xml:space="preserve">王海雷 ，电话： </w:t>
      </w:r>
      <w:r>
        <w:rPr>
          <w:rFonts w:ascii="仿宋" w:hAnsi="仿宋" w:eastAsia="仿宋"/>
          <w:color w:val="000000"/>
          <w:sz w:val="28"/>
          <w:szCs w:val="28"/>
        </w:rPr>
        <w:t xml:space="preserve">13952308835。</w:t>
      </w:r>
      <w:r>
        <w:rPr>
          <w:rFonts w:ascii="仿宋" w:hAnsi="仿宋" w:eastAsia="仿宋"/>
          <w:color w:val="000000"/>
          <w:sz w:val="28"/>
          <w:szCs w:val="28"/>
        </w:rPr>
      </w:r>
      <w:r/>
    </w:p>
    <w:p>
      <w:pPr>
        <w:pStyle w:val="678"/>
        <w:spacing w:line="560" w:lineRule="exac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三</w:t>
      </w:r>
      <w:r>
        <w:rPr>
          <w:rFonts w:ascii="仿宋" w:hAnsi="仿宋" w:eastAsia="仿宋" w:cs="仿宋"/>
          <w:b/>
          <w:color w:val="000000"/>
          <w:sz w:val="28"/>
        </w:rPr>
        <w:t xml:space="preserve">、其他要求</w:t>
      </w:r>
      <w:r>
        <w:rPr>
          <w:rFonts w:ascii="仿宋" w:hAnsi="仿宋" w:eastAsia="仿宋" w:cs="仿宋"/>
          <w:b/>
          <w:color w:val="000000"/>
          <w:sz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1、土建尺寸:本项目电梯井道的数据，投标人需自行勘测(具体井道尺寸以现场尺寸为准) ，采购人不集中组织勘测。投标人提供的产品及服务须适应土建时所预留的尺寸，并运行顺利、正常、可靠。投标人自行勘测现场时如发生人员伤亡事故，由投标人自行承担责任，与采购人无关。投标人对自行勘察的尺寸负责，如后期现场正式测量时发现所测数据有出入均由投标人自行承担相应后果。</w:t>
      </w:r>
      <w:r>
        <w:rPr>
          <w:rFonts w:ascii="仿宋" w:hAnsi="仿宋" w:eastAsia="仿宋"/>
          <w:color w:val="000000"/>
          <w:sz w:val="28"/>
          <w:szCs w:val="28"/>
        </w:rPr>
      </w:r>
      <w:r/>
    </w:p>
    <w:p>
      <w:pPr>
        <w:pStyle w:val="678"/>
        <w:ind w:firstLine="571"/>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2、其他要求：中标人对商品的包装应按照“财办库〔2020〕123号《关于印发《商品包装政府采购需求标准（试行）》、《快递包装政府采购需求标准（试行）》的通知》”执行。涉及设备运维参考《绿色数据中心政府采购需求标准（试行）》（财库【2023】7号文）执行。中标人在供货过程中能做到低碳物流、环保节约、提高资源利用率。</w:t>
      </w:r>
      <w:r>
        <w:rPr>
          <w:rFonts w:ascii="仿宋" w:hAnsi="仿宋" w:eastAsia="仿宋"/>
          <w:color w:val="000000"/>
          <w:sz w:val="28"/>
          <w:szCs w:val="28"/>
        </w:rPr>
      </w:r>
      <w:r/>
    </w:p>
    <w:p>
      <w:pPr>
        <w:pStyle w:val="678"/>
        <w:ind w:firstLine="571"/>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3、备品备件及专用工具:符合施工及保修要求及国家标准、技术规范。</w:t>
      </w:r>
      <w:r>
        <w:rPr>
          <w:rFonts w:ascii="仿宋" w:hAnsi="仿宋" w:eastAsia="仿宋"/>
          <w:color w:val="000000"/>
          <w:sz w:val="28"/>
          <w:szCs w:val="28"/>
        </w:rPr>
      </w:r>
      <w:r/>
    </w:p>
    <w:p>
      <w:pPr>
        <w:pStyle w:val="678"/>
        <w:ind w:firstLine="571"/>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4、相关规范:采用的国家标准、技术规范(如有更新以新文件为准)</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5、验收方法：</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（1）验收时间：中标人在电梯货物整体安装调试完毕后，经3000次无故障运行试验后书面通知使用单位报验。</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（2）按国家有关电梯标准，并请当地特种设备检测中心电梯质检部门验收和试验。</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（3）验收标准：</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电梯制造和安装安全规范GB7588-2003；</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电梯安装验收规范GB10060-93；</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国家质监总局的电梯监督检验规程；</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电梯技术条件GB10058-1997；</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电梯试验方法GB10059-1997；</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电梯维修规范；</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电梯安装工程质量检验评估标准（试行版）；</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电气装置安装工程电梯电气装置施工及验收规范（GB50182-93）；</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高层民用建筑设计防火规范（GB50045）；</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江苏省消防部门的条件及相关的中国国家防火规则；</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电力供应部门的供电规章条例；</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以上规章、标准不论有无年代号，除有特别说明的以外，均以最新有效版本为准。</w:t>
      </w:r>
      <w:r>
        <w:rPr>
          <w:rFonts w:ascii="仿宋" w:hAnsi="仿宋" w:eastAsia="仿宋"/>
          <w:color w:val="000000"/>
          <w:sz w:val="28"/>
          <w:szCs w:val="28"/>
        </w:rPr>
      </w:r>
      <w:r/>
    </w:p>
    <w:p>
      <w:pPr>
        <w:pStyle w:val="678"/>
        <w:ind w:firstLine="56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6、提供易损配件价格清单。</w:t>
      </w:r>
      <w:r>
        <w:rPr>
          <w:rFonts w:ascii="仿宋" w:hAnsi="仿宋" w:eastAsia="仿宋"/>
          <w:color w:val="000000"/>
          <w:sz w:val="28"/>
          <w:szCs w:val="28"/>
        </w:rPr>
      </w:r>
      <w:r/>
    </w:p>
    <w:p>
      <w:pPr>
        <w:pStyle w:val="678"/>
        <w:spacing w:line="560" w:lineRule="exact"/>
        <w:rPr>
          <w:rFonts w:ascii="仿宋" w:hAnsi="仿宋" w:eastAsia="仿宋"/>
          <w:b/>
          <w:color w:val="00000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w:t>
      </w:r>
      <w:r>
        <w:rPr>
          <w:rFonts w:hint="eastAsia" w:ascii="仿宋" w:hAnsi="仿宋" w:eastAsia="仿宋" w:cs="仿宋"/>
          <w:b/>
          <w:color w:val="000000"/>
          <w:sz w:val="28"/>
        </w:rPr>
        <w:t xml:space="preserve">四</w:t>
      </w:r>
      <w:r>
        <w:rPr>
          <w:rFonts w:ascii="仿宋" w:hAnsi="仿宋" w:eastAsia="仿宋" w:cs="仿宋"/>
          <w:b/>
          <w:color w:val="000000"/>
          <w:sz w:val="28"/>
        </w:rPr>
        <w:t xml:space="preserve">、质保期限</w:t>
      </w:r>
      <w:r>
        <w:rPr>
          <w:rFonts w:ascii="仿宋" w:hAnsi="仿宋" w:eastAsia="仿宋"/>
          <w:b/>
          <w:color w:val="000000"/>
        </w:rPr>
      </w:r>
      <w:r/>
    </w:p>
    <w:p>
      <w:pPr>
        <w:pStyle w:val="678"/>
        <w:ind w:firstLine="280"/>
        <w:spacing w:line="560" w:lineRule="exact"/>
        <w:rPr>
          <w:rFonts w:hint="eastAsia" w:ascii="仿宋" w:hAnsi="仿宋" w:eastAsia="仿宋"/>
          <w:b/>
          <w:bCs/>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电梯整机的质保期自电梯安装监督检验合格之日起1年，主要部件及安全保护装置的质保期自电梯安装监督检验合格之日起5年。</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rPr>
        <w:t xml:space="preserve">需提供承诺书，加盖投标人公章</w:t>
      </w:r>
      <w:r>
        <w:rPr>
          <w:rFonts w:hint="eastAsia" w:ascii="仿宋" w:hAnsi="仿宋" w:eastAsia="仿宋"/>
          <w:b/>
          <w:bCs/>
          <w:color w:val="000000"/>
          <w:sz w:val="28"/>
          <w:szCs w:val="28"/>
          <w:lang w:eastAsia="zh-CN"/>
        </w:rPr>
        <w:t xml:space="preserve">，未提供作无效投标处理</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lang w:eastAsia="zh-CN"/>
        </w:rPr>
      </w:r>
      <w:r/>
    </w:p>
    <w:p>
      <w:pPr>
        <w:pStyle w:val="678"/>
        <w:spacing w:line="560" w:lineRule="exact"/>
        <w:tabs>
          <w:tab w:val="left" w:pos="900" w:leader="none"/>
        </w:tabs>
        <w:rPr>
          <w:rFonts w:ascii="仿宋" w:hAnsi="仿宋" w:eastAsia="仿宋"/>
          <w:b/>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五</w:t>
      </w:r>
      <w:r>
        <w:rPr>
          <w:rFonts w:ascii="仿宋" w:hAnsi="仿宋" w:eastAsia="仿宋" w:cs="仿宋"/>
          <w:b/>
          <w:color w:val="000000"/>
          <w:sz w:val="28"/>
        </w:rPr>
        <w:t xml:space="preserve">、售后服务及其他伴随服务要求</w:t>
      </w:r>
      <w:r>
        <w:rPr>
          <w:rFonts w:ascii="仿宋" w:hAnsi="仿宋" w:eastAsia="仿宋"/>
          <w:b/>
          <w:color w:val="000000"/>
        </w:rPr>
      </w:r>
      <w:r/>
    </w:p>
    <w:p>
      <w:pPr>
        <w:pStyle w:val="678"/>
        <w:ind w:firstLine="560"/>
        <w:spacing w:line="560" w:lineRule="exact"/>
        <w:tabs>
          <w:tab w:val="left" w:pos="900" w:leader="none"/>
        </w:tabs>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（1）中标人应负责履行本项目所需设备、物料的供应、运输及场内运输、装卸、安装、调试、质检部门的检验检测、维修保养等一应工作，所需费用已包括在投标总价之内。</w:t>
      </w:r>
      <w:r>
        <w:rPr>
          <w:rFonts w:ascii="仿宋" w:hAnsi="仿宋" w:eastAsia="仿宋"/>
          <w:color w:val="000000"/>
          <w:sz w:val="28"/>
          <w:szCs w:val="28"/>
        </w:rPr>
      </w:r>
      <w:r/>
    </w:p>
    <w:p>
      <w:pPr>
        <w:pStyle w:val="678"/>
        <w:ind w:firstLine="560"/>
        <w:spacing w:line="560" w:lineRule="exact"/>
        <w:tabs>
          <w:tab w:val="left" w:pos="900" w:leader="none"/>
        </w:tabs>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（2）中标人负责对采购人的设备维修管理人员免费培训，并在合同签订前提供详细的授课安排，授课师资配备、时间、地点及学员数量的说明。</w:t>
      </w:r>
      <w:r>
        <w:rPr>
          <w:rFonts w:ascii="仿宋" w:hAnsi="仿宋" w:eastAsia="仿宋"/>
          <w:color w:val="000000"/>
          <w:sz w:val="28"/>
          <w:szCs w:val="28"/>
        </w:rPr>
      </w:r>
      <w:r/>
    </w:p>
    <w:p>
      <w:pPr>
        <w:pStyle w:val="678"/>
        <w:ind w:firstLine="560"/>
        <w:spacing w:line="560" w:lineRule="exact"/>
        <w:tabs>
          <w:tab w:val="left" w:pos="900" w:leader="none"/>
        </w:tabs>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（3）中标人在合同签订前提供维修专用工具的详细清单。</w:t>
      </w:r>
      <w:r>
        <w:rPr>
          <w:rFonts w:ascii="仿宋" w:hAnsi="仿宋" w:eastAsia="仿宋"/>
          <w:color w:val="000000"/>
          <w:sz w:val="28"/>
          <w:szCs w:val="28"/>
        </w:rPr>
      </w:r>
      <w:r/>
    </w:p>
    <w:p>
      <w:pPr>
        <w:pStyle w:val="678"/>
        <w:ind w:firstLine="280"/>
        <w:spacing w:line="560" w:lineRule="exact"/>
        <w:rPr>
          <w:rFonts w:ascii="仿宋" w:hAnsi="仿宋" w:eastAsia="仿宋"/>
          <w:b/>
          <w:bCs/>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4）投标人承诺在设备发生故障、接到采购人通知后响应时间：电梯困人的求援时间不超过20分钟，故障反应时间小于30分钟，一般故障修复时间小于60分钟，较大故障修复时间小于36小时；投标人承诺在质保期内每月进行常规维护保养不少于两次，每月对电梯的运行安全工作情况作一次全面检查并提交检查报告</w:t>
      </w:r>
      <w:r>
        <w:rPr>
          <w:rFonts w:hint="eastAsia" w:ascii="仿宋" w:hAnsi="仿宋" w:eastAsia="仿宋"/>
          <w:b/>
          <w:bCs/>
          <w:color w:val="000000"/>
          <w:sz w:val="28"/>
          <w:szCs w:val="28"/>
        </w:rPr>
        <w:t xml:space="preserve">。需提供承诺书，加盖投标人公章</w:t>
      </w:r>
      <w:r>
        <w:rPr>
          <w:rFonts w:hint="eastAsia" w:ascii="仿宋" w:hAnsi="仿宋" w:eastAsia="仿宋"/>
          <w:b/>
          <w:bCs/>
          <w:color w:val="000000"/>
          <w:sz w:val="28"/>
          <w:szCs w:val="28"/>
          <w:lang w:eastAsia="zh-CN"/>
        </w:rPr>
        <w:t xml:space="preserve">，</w:t>
      </w:r>
      <w:r>
        <w:rPr>
          <w:rFonts w:ascii="仿宋" w:hAnsi="仿宋" w:eastAsia="仿宋" w:cs="仿宋"/>
          <w:b/>
          <w:color w:val="000000"/>
          <w:sz w:val="28"/>
        </w:rPr>
        <w:t xml:space="preserve">未提供的按无效投标处理</w:t>
      </w:r>
      <w:r>
        <w:rPr>
          <w:rFonts w:hint="eastAsia" w:ascii="仿宋" w:hAnsi="仿宋" w:eastAsia="仿宋"/>
          <w:b/>
          <w:bCs/>
          <w:color w:val="000000"/>
          <w:sz w:val="28"/>
          <w:szCs w:val="28"/>
        </w:rPr>
        <w:t xml:space="preserve">。</w:t>
      </w:r>
      <w:r>
        <w:rPr>
          <w:rFonts w:ascii="仿宋" w:hAnsi="仿宋" w:eastAsia="仿宋"/>
          <w:b/>
          <w:bCs/>
          <w:color w:val="000000"/>
          <w:sz w:val="28"/>
          <w:szCs w:val="28"/>
        </w:rPr>
      </w:r>
      <w:r/>
    </w:p>
    <w:p>
      <w:pPr>
        <w:pStyle w:val="678"/>
        <w:ind w:firstLine="562"/>
        <w:spacing w:line="560" w:lineRule="exact"/>
        <w:rPr>
          <w:rFonts w:ascii="仿宋" w:hAnsi="仿宋" w:eastAsia="仿宋"/>
          <w:b/>
          <w:color w:val="00000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说明：本项目报价为全费用报价，包括：“税费、人工费、材料费、专家评审费等一切与本次项目有关的费用”，投标人自己考虑其他费用的发生数额，成交后不作任何调整。</w:t>
      </w:r>
      <w:r>
        <w:rPr>
          <w:rFonts w:ascii="仿宋" w:hAnsi="仿宋" w:eastAsia="仿宋"/>
          <w:b/>
          <w:color w:val="000000"/>
        </w:rPr>
      </w:r>
      <w:r/>
    </w:p>
    <w:p>
      <w:pPr>
        <w:pStyle w:val="678"/>
        <w:ind w:firstLine="562"/>
        <w:jc w:val="left"/>
        <w:spacing w:line="560" w:lineRule="exact"/>
        <w:rPr>
          <w:rFonts w:ascii="仿宋" w:hAnsi="仿宋" w:eastAsia="仿宋"/>
          <w:b/>
          <w:color w:val="00000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注：投标人需针对以上第（4）条提供承诺书并加盖电子签章，未提供的按无效投标处理。</w:t>
      </w:r>
      <w:r>
        <w:rPr>
          <w:rFonts w:ascii="仿宋" w:hAnsi="仿宋" w:eastAsia="仿宋"/>
          <w:b/>
          <w:color w:val="000000"/>
        </w:rPr>
      </w:r>
      <w:r/>
    </w:p>
    <w:p>
      <w:pPr>
        <w:pStyle w:val="678"/>
        <w:jc w:val="left"/>
        <w:spacing w:line="560" w:lineRule="exact"/>
        <w:rPr>
          <w:rFonts w:ascii="仿宋" w:hAnsi="仿宋" w:eastAsia="仿宋"/>
          <w:color w:val="00000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rPr>
          <w:rFonts w:hint="eastAsia" w:ascii="仿宋" w:hAnsi="仿宋" w:eastAsia="仿宋" w:cs="仿宋"/>
          <w:b/>
          <w:color w:val="000000"/>
          <w:sz w:val="28"/>
        </w:rPr>
        <w:t xml:space="preserve">六</w:t>
      </w:r>
      <w:r>
        <w:rPr>
          <w:rFonts w:ascii="仿宋" w:hAnsi="仿宋" w:eastAsia="仿宋" w:cs="仿宋"/>
          <w:b/>
          <w:color w:val="000000"/>
          <w:sz w:val="28"/>
        </w:rPr>
        <w:t xml:space="preserve">、商务部分</w:t>
      </w:r>
      <w:r>
        <w:rPr>
          <w:rFonts w:ascii="仿宋" w:hAnsi="仿宋" w:eastAsia="仿宋"/>
          <w:color w:val="000000"/>
        </w:rPr>
      </w:r>
      <w:r/>
    </w:p>
    <w:p>
      <w:pPr>
        <w:pStyle w:val="678"/>
        <w:jc w:val="left"/>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（一）供货时间:合同签订后，接到采购人排产通知后60天内完成交货及安装调试，通过电梯主管部门验收并取得电梯使用合格证书。</w:t>
      </w:r>
      <w:r>
        <w:rPr>
          <w:rFonts w:ascii="仿宋" w:hAnsi="仿宋" w:eastAsia="仿宋"/>
          <w:color w:val="000000"/>
          <w:sz w:val="28"/>
          <w:szCs w:val="28"/>
        </w:rPr>
      </w:r>
      <w:r/>
    </w:p>
    <w:p>
      <w:pPr>
        <w:pStyle w:val="678"/>
        <w:jc w:val="left"/>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（二）供货地点:由采购人指定。</w:t>
      </w:r>
      <w:r>
        <w:rPr>
          <w:rFonts w:ascii="仿宋" w:hAnsi="仿宋" w:eastAsia="仿宋"/>
          <w:color w:val="000000"/>
          <w:sz w:val="28"/>
          <w:szCs w:val="28"/>
        </w:rPr>
      </w:r>
      <w:r/>
    </w:p>
    <w:p>
      <w:pPr>
        <w:pStyle w:val="678"/>
        <w:jc w:val="left"/>
        <w:spacing w:line="519"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olor w:val="000000"/>
          <w:sz w:val="28"/>
          <w:szCs w:val="28"/>
        </w:rPr>
        <w:t xml:space="preserve">（三）付款方式:</w:t>
      </w:r>
      <w:r>
        <w:rPr>
          <w:rFonts w:hint="eastAsia" w:ascii="仿宋" w:hAnsi="仿宋" w:eastAsia="仿宋" w:cs="仿宋"/>
          <w:color w:val="000000"/>
          <w:sz w:val="28"/>
        </w:rPr>
        <w:t xml:space="preserve">合同签订生效后5个工作日内，甲方支付合同总价的30%作为预付款，电梯安装、调试并验收合格取得检验报告和电梯使用登记标志后10个工作日内，甲方付清余款。</w:t>
      </w:r>
      <w:r>
        <w:rPr>
          <w:rFonts w:ascii="仿宋" w:hAnsi="仿宋" w:eastAsia="仿宋" w:cs="仿宋"/>
          <w:color w:val="000000"/>
          <w:sz w:val="28"/>
          <w:szCs w:val="28"/>
        </w:rPr>
      </w:r>
      <w:r/>
    </w:p>
    <w:p>
      <w:pPr>
        <w:pStyle w:val="768"/>
        <w:spacing w:line="520" w:lineRule="exact"/>
        <w:rPr>
          <w:rFonts w:ascii="仿宋" w:hAnsi="仿宋" w:eastAsia="仿宋"/>
          <w:bCs/>
          <w:color w:val="000000"/>
          <w:sz w:val="28"/>
          <w:szCs w:val="28"/>
        </w:rPr>
      </w:pPr>
      <w:r>
        <w:rPr>
          <w:rFonts w:ascii="仿宋" w:hAnsi="仿宋" w:eastAsia="仿宋"/>
          <w:bCs/>
          <w:color w:val="000000"/>
          <w:sz w:val="28"/>
          <w:szCs w:val="28"/>
        </w:rPr>
      </w:r>
      <w:r/>
    </w:p>
    <w:p>
      <w:pPr>
        <w:pStyle w:val="67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78"/>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r>
      <w:r/>
    </w:p>
    <w:p>
      <w:pPr>
        <w:pStyle w:val="678"/>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t xml:space="preserve">第六章  投标文件</w:t>
      </w:r>
      <w:r>
        <w:rPr>
          <w:rFonts w:hint="eastAsia" w:ascii="黑体" w:hAnsi="黑体" w:eastAsia="黑体"/>
          <w:b/>
          <w:bCs/>
          <w:sz w:val="36"/>
        </w:rPr>
      </w:r>
      <w:r/>
    </w:p>
    <w:p>
      <w:pPr>
        <w:pStyle w:val="699"/>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78"/>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69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99"/>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699"/>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699"/>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67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7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7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7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67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67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7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78"/>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699"/>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699"/>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750"/>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678"/>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78"/>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75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75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w:t>
      </w:r>
      <w:r>
        <w:rPr>
          <w:rFonts w:hint="eastAsia" w:ascii="仿宋" w:hAnsi="仿宋" w:eastAsia="仿宋"/>
          <w:sz w:val="28"/>
          <w:szCs w:val="28"/>
          <w:highlight w:val="none"/>
        </w:rPr>
        <w:t xml:space="preserve">第15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75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75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75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750"/>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750"/>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750"/>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678"/>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699"/>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678"/>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678"/>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78"/>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678"/>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678"/>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678"/>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678"/>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678"/>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678"/>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678"/>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699"/>
        <w:keepLines w:val="0"/>
        <w:keepNext w:val="0"/>
        <w:pageBreakBefore w:val="0"/>
        <w:rPr>
          <w:rFonts w:hint="eastAsia" w:hAnsi="宋体"/>
          <w:b/>
          <w:sz w:val="32"/>
          <w:szCs w:val="32"/>
        </w:rPr>
        <w:outlineLvl w:val="9"/>
      </w:pPr>
      <w:r/>
      <w:bookmarkStart w:id="38" w:name="_Toc157775468"/>
      <w:r>
        <w:rPr>
          <w:rFonts w:hint="eastAsia" w:hAnsi="宋体"/>
          <w:b/>
          <w:sz w:val="32"/>
          <w:szCs w:val="32"/>
        </w:rPr>
      </w:r>
      <w:r/>
    </w:p>
    <w:p>
      <w:pPr>
        <w:pStyle w:val="699"/>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699"/>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序号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产品名称</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品牌</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规格型号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99"/>
              <w:jc w:val="center"/>
              <w:keepLines w:val="0"/>
              <w:keepNext w:val="0"/>
              <w:pageBreakBefore w:val="0"/>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制造商名称</w:t>
            </w:r>
            <w:r>
              <w:rPr>
                <w:rFonts w:hint="eastAsia" w:ascii="仿宋" w:hAnsi="仿宋" w:eastAsia="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99"/>
              <w:jc w:val="left"/>
              <w:keepLines w:val="0"/>
              <w:keepNext w:val="0"/>
              <w:pageBreakBefore w:val="0"/>
              <w:spacing w:line="340" w:lineRule="exact"/>
              <w:tabs>
                <w:tab w:val="left" w:pos="319" w:leader="none"/>
              </w:tabs>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产地</w:t>
            </w:r>
            <w:r>
              <w:rPr>
                <w:rFonts w:hint="eastAsia" w:ascii="仿宋" w:hAnsi="仿宋" w:eastAsia="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交付期</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数量</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分项单价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5</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6</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7</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9</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699"/>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699"/>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投标总报价（人民币：元） </w:t>
            </w:r>
            <w:r>
              <w:rPr>
                <w:rFonts w:ascii="仿宋" w:hAnsi="仿宋" w:eastAsia="仿宋"/>
                <w:sz w:val="24"/>
                <w:szCs w:val="24"/>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699"/>
              <w:jc w:val="left"/>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ascii="仿宋" w:hAnsi="仿宋" w:eastAsia="仿宋"/>
                <w:sz w:val="24"/>
                <w:szCs w:val="24"/>
              </w:rPr>
            </w:r>
            <w:r/>
          </w:p>
        </w:tc>
      </w:tr>
    </w:tbl>
    <w:p>
      <w:pPr>
        <w:pStyle w:val="699"/>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699"/>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699"/>
        <w:numPr>
          <w:ilvl w:val="0"/>
          <w:numId w:val="6"/>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699"/>
        <w:numPr>
          <w:ilvl w:val="0"/>
          <w:numId w:val="6"/>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699"/>
        <w:numPr>
          <w:ilvl w:val="0"/>
          <w:numId w:val="6"/>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699"/>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78"/>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67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67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678"/>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678"/>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699"/>
        <w:ind w:firstLine="0"/>
        <w:jc w:val="center"/>
        <w:keepLines w:val="0"/>
        <w:keepNext w:val="0"/>
        <w:pageBreakBefore w:val="0"/>
        <w:spacing w:line="520" w:lineRule="exact"/>
        <w:widowControl w:val="off"/>
        <w:rPr>
          <w:rFonts w:hint="eastAsia" w:ascii="仿宋" w:hAnsi="仿宋" w:eastAsia="仿宋"/>
          <w:b/>
          <w:bCs/>
          <w:sz w:val="32"/>
          <w:szCs w:val="32"/>
        </w:rPr>
        <w:outlineLvl w:val="9"/>
      </w:pPr>
      <w:r/>
      <w:bookmarkEnd w:id="38"/>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699"/>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7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78"/>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678"/>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67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67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678"/>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color w:val="000000"/>
          <w:sz w:val="28"/>
          <w:szCs w:val="28"/>
        </w:rPr>
        <w:t xml:space="preserve">4</w:t>
      </w:r>
      <w:r>
        <w:rPr>
          <w:rFonts w:hint="eastAsia" w:ascii="仿宋" w:hAnsi="仿宋" w:eastAsia="仿宋"/>
          <w:b/>
          <w:bCs/>
          <w:color w:val="000000"/>
          <w:sz w:val="28"/>
          <w:szCs w:val="28"/>
          <w:lang w:val="zh-CN"/>
        </w:rPr>
        <w:t xml:space="preserve">、</w:t>
      </w:r>
      <w:r>
        <w:rPr>
          <w:rFonts w:hint="eastAsia" w:ascii="仿宋" w:hAnsi="仿宋" w:eastAsia="仿宋"/>
          <w:b/>
          <w:bCs/>
          <w:sz w:val="28"/>
          <w:szCs w:val="28"/>
        </w:rPr>
        <w:t xml:space="preserve">根据本项目的特定资格要求，</w:t>
      </w:r>
      <w:r>
        <w:rPr>
          <w:rFonts w:hint="eastAsia" w:ascii="仿宋" w:hAnsi="仿宋" w:eastAsia="仿宋"/>
          <w:b/>
          <w:bCs/>
          <w:color w:val="000000"/>
          <w:sz w:val="28"/>
          <w:szCs w:val="28"/>
          <w:lang w:val="zh-CN"/>
        </w:rPr>
        <w:t xml:space="preserve">投标人还须提供下列资料</w:t>
      </w:r>
      <w:r>
        <w:rPr>
          <w:rFonts w:hint="eastAsia" w:ascii="仿宋" w:hAnsi="仿宋" w:eastAsia="仿宋"/>
          <w:b/>
          <w:bCs/>
          <w:sz w:val="28"/>
          <w:szCs w:val="28"/>
        </w:rPr>
        <w:t xml:space="preserve">:</w:t>
      </w:r>
      <w:r>
        <w:rPr>
          <w:rFonts w:hint="eastAsia" w:ascii="仿宋" w:hAnsi="仿宋" w:eastAsia="仿宋"/>
          <w:b/>
          <w:bCs/>
          <w:sz w:val="28"/>
          <w:szCs w:val="28"/>
        </w:rPr>
      </w:r>
      <w:r/>
    </w:p>
    <w:p>
      <w:pPr>
        <w:pStyle w:val="678"/>
        <w:ind w:firstLine="562"/>
        <w:keepLines w:val="0"/>
        <w:keepNext w:val="0"/>
        <w:pageBreakBefore w:val="0"/>
        <w:spacing w:line="520" w:lineRule="exact"/>
        <w:rPr>
          <w:rFonts w:hint="eastAsia" w:ascii="仿宋" w:hAnsi="仿宋" w:eastAsia="仿宋"/>
          <w:b/>
          <w:bCs/>
          <w:color w:val="000000"/>
          <w:sz w:val="28"/>
          <w:szCs w:val="28"/>
        </w:rPr>
        <w:outlineLvl w:val="9"/>
      </w:pPr>
      <w:r>
        <w:rPr>
          <w:rFonts w:hint="eastAsia" w:ascii="仿宋" w:hAnsi="仿宋" w:eastAsia="仿宋"/>
          <w:b/>
          <w:bCs/>
          <w:color w:val="000000"/>
          <w:sz w:val="28"/>
          <w:szCs w:val="28"/>
        </w:rPr>
        <w:t xml:space="preserve">（1）投标人或所投电梯制造商须具有有效期内的《中华人民共和国特种设备生产许可证》（包含乘客电梯许可项目）。</w:t>
      </w:r>
      <w:r>
        <w:rPr>
          <w:rFonts w:hint="eastAsia" w:ascii="仿宋" w:hAnsi="仿宋" w:eastAsia="仿宋"/>
          <w:b/>
          <w:bCs/>
          <w:color w:val="000000"/>
          <w:sz w:val="28"/>
          <w:szCs w:val="28"/>
        </w:rPr>
      </w:r>
      <w:r/>
    </w:p>
    <w:p>
      <w:pPr>
        <w:pStyle w:val="678"/>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39"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678"/>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678"/>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678"/>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678"/>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678"/>
        <w:ind w:firstLine="2891"/>
        <w:keepLines w:val="0"/>
        <w:keepNext w:val="0"/>
        <w:pageBreakBefore w:val="0"/>
        <w:spacing w:line="640" w:lineRule="exact"/>
        <w:rPr>
          <w:rFonts w:ascii="仿宋" w:hAnsi="仿宋" w:eastAsia="仿宋" w:cs="楷体_GB2312"/>
          <w:b/>
          <w:bCs/>
          <w:sz w:val="32"/>
          <w:szCs w:val="32"/>
          <w:lang w:val="zh-CN"/>
        </w:rPr>
        <w:outlineLvl w:val="9"/>
      </w:pPr>
      <w:r/>
      <w:bookmarkEnd w:id="39"/>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78"/>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78"/>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78"/>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78"/>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678"/>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678"/>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678"/>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7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50"/>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678"/>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678"/>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678"/>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678"/>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678"/>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78"/>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78"/>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678"/>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678"/>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78"/>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678"/>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686"/>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78"/>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7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78"/>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678"/>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7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7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78"/>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7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678"/>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678"/>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686"/>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68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7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8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68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
          <w:bCs/>
          <w:sz w:val="32"/>
          <w:szCs w:val="32"/>
        </w:rPr>
        <w:br w:type="page" w:clear="all"/>
      </w:r>
      <w:r>
        <w:rPr>
          <w:rFonts w:hint="eastAsia" w:ascii="仿宋" w:hAnsi="仿宋" w:eastAsia="仿宋"/>
          <w:bCs/>
          <w:color w:val="000000"/>
          <w:sz w:val="24"/>
          <w:szCs w:val="24"/>
        </w:rPr>
      </w:r>
      <w:r/>
    </w:p>
    <w:p>
      <w:pPr>
        <w:pStyle w:val="68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686"/>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78"/>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686"/>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686"/>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67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78"/>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686"/>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686"/>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686"/>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68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rPr>
        <w:rStyle w:val="718"/>
      </w:rPr>
      <w:framePr w:wrap="around" w:vAnchor="text" w:hAnchor="margin" w:xAlign="center" w:y="1"/>
    </w:pPr>
    <w:r>
      <w:fldChar w:fldCharType="begin"/>
    </w:r>
    <w:r>
      <w:rPr>
        <w:rStyle w:val="718"/>
      </w:rPr>
      <w:instrText xml:space="preserve">PAGE  </w:instrText>
    </w:r>
    <w:r>
      <w:fldChar w:fldCharType="end"/>
    </w:r>
    <w:r>
      <w:rPr>
        <w:rStyle w:val="718"/>
      </w:rPr>
    </w:r>
    <w:r/>
  </w:p>
  <w:p>
    <w:pPr>
      <w:pStyle w:val="70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61"/>
      <w:isLgl w:val="false"/>
      <w:suff w:val="nothing"/>
      <w:lvlText w:val="第%1章"/>
      <w:lvlJc w:val="left"/>
      <w:pPr>
        <w:pStyle w:val="678"/>
        <w:ind w:left="640" w:firstLine="0"/>
      </w:pPr>
      <w:rPr>
        <w:rFonts w:hint="eastAsia"/>
      </w:rPr>
    </w:lvl>
    <w:lvl w:ilvl="1">
      <w:start w:val="1"/>
      <w:numFmt w:val="decimal"/>
      <w:isLgl w:val="false"/>
      <w:suff w:val="nothing"/>
      <w:lvlText w:val=""/>
      <w:lvlJc w:val="left"/>
      <w:pPr>
        <w:pStyle w:val="678"/>
        <w:ind w:left="640" w:firstLine="0"/>
      </w:pPr>
      <w:rPr>
        <w:rFonts w:hint="eastAsia"/>
      </w:rPr>
    </w:lvl>
    <w:lvl w:ilvl="2">
      <w:start w:val="1"/>
      <w:numFmt w:val="decimal"/>
      <w:isLgl w:val="false"/>
      <w:suff w:val="nothing"/>
      <w:lvlText w:val=""/>
      <w:lvlJc w:val="left"/>
      <w:pPr>
        <w:pStyle w:val="678"/>
        <w:ind w:left="640" w:firstLine="0"/>
      </w:pPr>
      <w:rPr>
        <w:rFonts w:hint="eastAsia"/>
      </w:rPr>
    </w:lvl>
    <w:lvl w:ilvl="3">
      <w:start w:val="1"/>
      <w:numFmt w:val="decimal"/>
      <w:isLgl w:val="false"/>
      <w:suff w:val="nothing"/>
      <w:lvlText w:val=""/>
      <w:lvlJc w:val="left"/>
      <w:pPr>
        <w:pStyle w:val="678"/>
        <w:ind w:left="640" w:firstLine="0"/>
      </w:pPr>
      <w:rPr>
        <w:rFonts w:hint="eastAsia"/>
      </w:rPr>
    </w:lvl>
    <w:lvl w:ilvl="4">
      <w:start w:val="1"/>
      <w:numFmt w:val="decimal"/>
      <w:isLgl w:val="false"/>
      <w:suff w:val="nothing"/>
      <w:lvlText w:val=""/>
      <w:lvlJc w:val="left"/>
      <w:pPr>
        <w:pStyle w:val="678"/>
        <w:ind w:left="640" w:firstLine="0"/>
      </w:pPr>
      <w:rPr>
        <w:rFonts w:hint="eastAsia"/>
      </w:rPr>
    </w:lvl>
    <w:lvl w:ilvl="5">
      <w:start w:val="1"/>
      <w:numFmt w:val="decimal"/>
      <w:isLgl w:val="false"/>
      <w:suff w:val="nothing"/>
      <w:lvlText w:val=""/>
      <w:lvlJc w:val="left"/>
      <w:pPr>
        <w:pStyle w:val="678"/>
        <w:ind w:left="640" w:firstLine="0"/>
      </w:pPr>
      <w:rPr>
        <w:rFonts w:hint="eastAsia"/>
      </w:rPr>
    </w:lvl>
    <w:lvl w:ilvl="6">
      <w:start w:val="1"/>
      <w:numFmt w:val="decimal"/>
      <w:isLgl w:val="false"/>
      <w:suff w:val="nothing"/>
      <w:lvlText w:val=""/>
      <w:lvlJc w:val="left"/>
      <w:pPr>
        <w:pStyle w:val="678"/>
        <w:ind w:left="640" w:firstLine="0"/>
      </w:pPr>
      <w:rPr>
        <w:rFonts w:hint="eastAsia"/>
      </w:rPr>
    </w:lvl>
    <w:lvl w:ilvl="7">
      <w:start w:val="1"/>
      <w:numFmt w:val="decimal"/>
      <w:isLgl w:val="false"/>
      <w:suff w:val="nothing"/>
      <w:lvlText w:val=""/>
      <w:lvlJc w:val="left"/>
      <w:pPr>
        <w:pStyle w:val="678"/>
        <w:ind w:left="640" w:firstLine="0"/>
      </w:pPr>
      <w:rPr>
        <w:rFonts w:hint="eastAsia"/>
      </w:rPr>
    </w:lvl>
    <w:lvl w:ilvl="8">
      <w:start w:val="1"/>
      <w:numFmt w:val="decimal"/>
      <w:isLgl w:val="false"/>
      <w:suff w:val="nothing"/>
      <w:lvlText w:val=""/>
      <w:lvlJc w:val="left"/>
      <w:pPr>
        <w:pStyle w:val="678"/>
        <w:ind w:left="640" w:firstLine="0"/>
      </w:pPr>
      <w:rPr>
        <w:rFonts w:hint="eastAsia"/>
      </w:rPr>
    </w:lvl>
  </w:abstractNum>
  <w:abstractNum w:abstractNumId="3">
    <w:multiLevelType w:val="hybridMultilevel"/>
    <w:lvl w:ilvl="0">
      <w:start w:val="2"/>
      <w:numFmt w:val="decimal"/>
      <w:isLgl w:val="false"/>
      <w:suff w:val="nothing"/>
      <w:lvlText w:val="%1、"/>
      <w:lvlJc w:val="left"/>
      <w:pPr>
        <w:pStyle w:val="678"/>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751"/>
      <w:isLgl w:val="false"/>
      <w:suff w:val="tab"/>
      <w:lvlText w:val="%1、"/>
      <w:lvlJc w:val="left"/>
      <w:pPr>
        <w:pStyle w:val="678"/>
        <w:ind w:left="420" w:hanging="420"/>
        <w:tabs>
          <w:tab w:val="num" w:pos="420" w:leader="none"/>
        </w:tabs>
      </w:pPr>
      <w:rPr>
        <w:rFonts w:hint="eastAsia"/>
        <w:b/>
        <w:i w:val="0"/>
      </w:rPr>
    </w:lvl>
    <w:lvl w:ilvl="1">
      <w:start w:val="1"/>
      <w:numFmt w:val="lowerLetter"/>
      <w:isLgl w:val="false"/>
      <w:suff w:val="tab"/>
      <w:lvlText w:val="%2)"/>
      <w:lvlJc w:val="left"/>
      <w:pPr>
        <w:pStyle w:val="678"/>
        <w:ind w:left="840" w:hanging="420"/>
        <w:tabs>
          <w:tab w:val="num" w:pos="840" w:leader="none"/>
        </w:tabs>
      </w:pPr>
    </w:lvl>
    <w:lvl w:ilvl="2">
      <w:start w:val="1"/>
      <w:numFmt w:val="lowerRoman"/>
      <w:isLgl w:val="false"/>
      <w:suff w:val="tab"/>
      <w:lvlText w:val="%3."/>
      <w:lvlJc w:val="right"/>
      <w:pPr>
        <w:pStyle w:val="678"/>
        <w:ind w:left="1260" w:hanging="420"/>
        <w:tabs>
          <w:tab w:val="num" w:pos="1260" w:leader="none"/>
        </w:tabs>
      </w:pPr>
    </w:lvl>
    <w:lvl w:ilvl="3">
      <w:start w:val="1"/>
      <w:numFmt w:val="decimal"/>
      <w:isLgl w:val="false"/>
      <w:suff w:val="tab"/>
      <w:lvlText w:val="%4."/>
      <w:lvlJc w:val="left"/>
      <w:pPr>
        <w:pStyle w:val="678"/>
        <w:ind w:left="1680" w:hanging="420"/>
        <w:tabs>
          <w:tab w:val="num" w:pos="1680" w:leader="none"/>
        </w:tabs>
      </w:pPr>
    </w:lvl>
    <w:lvl w:ilvl="4">
      <w:start w:val="1"/>
      <w:numFmt w:val="lowerLetter"/>
      <w:isLgl w:val="false"/>
      <w:suff w:val="tab"/>
      <w:lvlText w:val="%5)"/>
      <w:lvlJc w:val="left"/>
      <w:pPr>
        <w:pStyle w:val="678"/>
        <w:ind w:left="2100" w:hanging="420"/>
        <w:tabs>
          <w:tab w:val="num" w:pos="2100" w:leader="none"/>
        </w:tabs>
      </w:pPr>
    </w:lvl>
    <w:lvl w:ilvl="5">
      <w:start w:val="1"/>
      <w:numFmt w:val="lowerRoman"/>
      <w:isLgl w:val="false"/>
      <w:suff w:val="tab"/>
      <w:lvlText w:val="%6."/>
      <w:lvlJc w:val="right"/>
      <w:pPr>
        <w:pStyle w:val="678"/>
        <w:ind w:left="2520" w:hanging="420"/>
        <w:tabs>
          <w:tab w:val="num" w:pos="2520" w:leader="none"/>
        </w:tabs>
      </w:pPr>
    </w:lvl>
    <w:lvl w:ilvl="6">
      <w:start w:val="1"/>
      <w:numFmt w:val="decimal"/>
      <w:isLgl w:val="false"/>
      <w:suff w:val="tab"/>
      <w:lvlText w:val="%7."/>
      <w:lvlJc w:val="left"/>
      <w:pPr>
        <w:pStyle w:val="678"/>
        <w:ind w:left="2940" w:hanging="420"/>
        <w:tabs>
          <w:tab w:val="num" w:pos="2940" w:leader="none"/>
        </w:tabs>
      </w:pPr>
    </w:lvl>
    <w:lvl w:ilvl="7">
      <w:start w:val="1"/>
      <w:numFmt w:val="lowerLetter"/>
      <w:isLgl w:val="false"/>
      <w:suff w:val="tab"/>
      <w:lvlText w:val="%8)"/>
      <w:lvlJc w:val="left"/>
      <w:pPr>
        <w:pStyle w:val="678"/>
        <w:ind w:left="3360" w:hanging="420"/>
        <w:tabs>
          <w:tab w:val="num" w:pos="3360" w:leader="none"/>
        </w:tabs>
      </w:pPr>
    </w:lvl>
    <w:lvl w:ilvl="8">
      <w:start w:val="1"/>
      <w:numFmt w:val="lowerRoman"/>
      <w:isLgl w:val="false"/>
      <w:suff w:val="tab"/>
      <w:lvlText w:val="%9."/>
      <w:lvlJc w:val="right"/>
      <w:pPr>
        <w:pStyle w:val="678"/>
        <w:ind w:left="3780" w:hanging="420"/>
        <w:tabs>
          <w:tab w:val="num" w:pos="3780" w:leader="none"/>
        </w:tabs>
      </w:pPr>
    </w:lvl>
  </w:abstractNum>
  <w:abstractNum w:abstractNumId="5">
    <w:multiLevelType w:val="hybridMultilevel"/>
    <w:lvl w:ilvl="0">
      <w:start w:val="2"/>
      <w:numFmt w:val="chineseCountingThousand"/>
      <w:pStyle w:val="757"/>
      <w:isLgl w:val="false"/>
      <w:suff w:val="nothing"/>
      <w:lvlText w:val="第%1部分"/>
      <w:lvlJc w:val="center"/>
      <w:pPr>
        <w:pStyle w:val="678"/>
        <w:ind w:left="432" w:firstLine="288"/>
      </w:pPr>
      <w:rPr>
        <w:rFonts w:hint="eastAsia"/>
        <w:sz w:val="28"/>
        <w:szCs w:val="28"/>
        <w:lang w:val="en-US"/>
      </w:rPr>
    </w:lvl>
    <w:lvl w:ilvl="1">
      <w:start w:val="1"/>
      <w:numFmt w:val="chineseCountingThousand"/>
      <w:isLgl w:val="false"/>
      <w:suff w:val="nothing"/>
      <w:lvlText w:val="%2、"/>
      <w:lvlJc w:val="left"/>
      <w:pPr>
        <w:pStyle w:val="678"/>
        <w:ind w:left="360" w:firstLine="0"/>
      </w:pPr>
      <w:rPr>
        <w:rFonts w:hint="eastAsia"/>
        <w:lang w:val="en-US"/>
      </w:rPr>
    </w:lvl>
    <w:lvl w:ilvl="2">
      <w:start w:val="1"/>
      <w:numFmt w:val="chineseCountingThousand"/>
      <w:isLgl w:val="false"/>
      <w:suff w:val="nothing"/>
      <w:lvlText w:val="(%3)"/>
      <w:lvlJc w:val="left"/>
      <w:pPr>
        <w:pStyle w:val="678"/>
        <w:ind w:left="0" w:firstLine="0"/>
      </w:pPr>
      <w:rPr>
        <w:rFonts w:hint="eastAsia"/>
      </w:rPr>
    </w:lvl>
    <w:lvl w:ilvl="3">
      <w:start w:val="1"/>
      <w:numFmt w:val="decimal"/>
      <w:isLgl w:val="false"/>
      <w:suff w:val="nothing"/>
      <w:lvlText w:val="%4、"/>
      <w:lvlJc w:val="left"/>
      <w:pPr>
        <w:pStyle w:val="678"/>
        <w:ind w:left="0" w:firstLine="0"/>
      </w:pPr>
      <w:rPr>
        <w:rFonts w:hint="eastAsia"/>
      </w:rPr>
    </w:lvl>
    <w:lvl w:ilvl="4">
      <w:start w:val="1"/>
      <w:numFmt w:val="upperLetter"/>
      <w:isLgl w:val="false"/>
      <w:suff w:val="nothing"/>
      <w:lvlText w:val="%5、"/>
      <w:lvlJc w:val="left"/>
      <w:pPr>
        <w:pStyle w:val="678"/>
        <w:ind w:left="0" w:firstLine="0"/>
      </w:pPr>
      <w:rPr>
        <w:rFonts w:hint="eastAsia"/>
      </w:rPr>
    </w:lvl>
    <w:lvl w:ilvl="5">
      <w:start w:val="1"/>
      <w:numFmt w:val="decimal"/>
      <w:isLgl w:val="false"/>
      <w:suff w:val="nothing"/>
      <w:lvlText w:val=""/>
      <w:lvlJc w:val="left"/>
      <w:pPr>
        <w:pStyle w:val="678"/>
        <w:ind w:left="0" w:firstLine="0"/>
      </w:pPr>
      <w:rPr>
        <w:rFonts w:hint="eastAsia"/>
      </w:rPr>
    </w:lvl>
    <w:lvl w:ilvl="6">
      <w:start w:val="1"/>
      <w:numFmt w:val="decimal"/>
      <w:isLgl w:val="false"/>
      <w:suff w:val="nothing"/>
      <w:lvlText w:val=""/>
      <w:lvlJc w:val="left"/>
      <w:pPr>
        <w:pStyle w:val="678"/>
        <w:ind w:left="0" w:firstLine="0"/>
      </w:pPr>
      <w:rPr>
        <w:rFonts w:hint="eastAsia"/>
      </w:rPr>
    </w:lvl>
    <w:lvl w:ilvl="7">
      <w:start w:val="1"/>
      <w:numFmt w:val="decimal"/>
      <w:isLgl w:val="false"/>
      <w:suff w:val="nothing"/>
      <w:lvlText w:val=""/>
      <w:lvlJc w:val="left"/>
      <w:pPr>
        <w:pStyle w:val="678"/>
        <w:ind w:left="0" w:firstLine="0"/>
      </w:pPr>
      <w:rPr>
        <w:rFonts w:hint="eastAsia"/>
      </w:rPr>
    </w:lvl>
    <w:lvl w:ilvl="8">
      <w:start w:val="1"/>
      <w:numFmt w:val="decimal"/>
      <w:isLgl w:val="false"/>
      <w:suff w:val="nothing"/>
      <w:lvlText w:val=""/>
      <w:lvlJc w:val="left"/>
      <w:pPr>
        <w:pStyle w:val="678"/>
        <w:ind w:left="0" w:firstLine="0"/>
      </w:pPr>
      <w:rPr>
        <w:rFonts w:hint="eastAsia"/>
      </w:rPr>
    </w:lvl>
  </w:abstractNum>
  <w:num w:numId="1">
    <w:abstractNumId w:val="4"/>
  </w:num>
  <w:num w:numId="2">
    <w:abstractNumId w:val="5"/>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78"/>
    <w:link w:val="678"/>
    <w:qFormat/>
    <w:pPr>
      <w:jc w:val="both"/>
      <w:widowControl w:val="off"/>
    </w:pPr>
    <w:rPr>
      <w:sz w:val="21"/>
      <w:szCs w:val="24"/>
      <w:lang w:val="en-US" w:eastAsia="zh-CN" w:bidi="ar-SA"/>
    </w:rPr>
  </w:style>
  <w:style w:type="paragraph" w:styleId="679">
    <w:name w:val="标题 1"/>
    <w:basedOn w:val="678"/>
    <w:next w:val="678"/>
    <w:link w:val="678"/>
    <w:uiPriority w:val="9"/>
    <w:qFormat/>
    <w:pPr>
      <w:keepLines/>
      <w:keepNext/>
      <w:spacing w:before="340" w:after="330" w:line="578" w:lineRule="auto"/>
      <w:outlineLvl w:val="0"/>
    </w:pPr>
    <w:rPr>
      <w:b/>
      <w:bCs/>
      <w:sz w:val="44"/>
      <w:szCs w:val="44"/>
    </w:rPr>
  </w:style>
  <w:style w:type="paragraph" w:styleId="680">
    <w:name w:val="标题 2"/>
    <w:basedOn w:val="678"/>
    <w:next w:val="686"/>
    <w:link w:val="678"/>
    <w:uiPriority w:val="9"/>
    <w:qFormat/>
    <w:pPr>
      <w:keepLines/>
      <w:keepNext/>
      <w:spacing w:before="260" w:after="260" w:line="413" w:lineRule="auto"/>
      <w:outlineLvl w:val="1"/>
    </w:pPr>
    <w:rPr>
      <w:rFonts w:ascii="Arial" w:hAnsi="Arial" w:eastAsia="黑体"/>
      <w:b/>
      <w:sz w:val="32"/>
      <w:szCs w:val="20"/>
    </w:rPr>
  </w:style>
  <w:style w:type="paragraph" w:styleId="681">
    <w:name w:val="标题 3"/>
    <w:basedOn w:val="678"/>
    <w:next w:val="678"/>
    <w:link w:val="678"/>
    <w:uiPriority w:val="9"/>
    <w:qFormat/>
    <w:pPr>
      <w:keepLines/>
      <w:keepNext/>
      <w:spacing w:before="260" w:after="260" w:line="413" w:lineRule="auto"/>
      <w:outlineLvl w:val="2"/>
    </w:pPr>
    <w:rPr>
      <w:rFonts w:ascii="Arial" w:hAnsi="Arial"/>
      <w:b/>
      <w:sz w:val="32"/>
      <w:szCs w:val="20"/>
    </w:rPr>
  </w:style>
  <w:style w:type="paragraph" w:styleId="682">
    <w:name w:val="标题 4"/>
    <w:basedOn w:val="678"/>
    <w:next w:val="678"/>
    <w:link w:val="688"/>
    <w:uiPriority w:val="9"/>
    <w:qFormat/>
    <w:pPr>
      <w:keepLines/>
      <w:keepNext/>
      <w:spacing w:before="280" w:after="290" w:line="376" w:lineRule="auto"/>
      <w:outlineLvl w:val="3"/>
    </w:pPr>
    <w:rPr>
      <w:rFonts w:ascii="Cambria" w:hAnsi="Cambria"/>
      <w:b/>
      <w:bCs/>
      <w:sz w:val="28"/>
      <w:szCs w:val="28"/>
    </w:rPr>
  </w:style>
  <w:style w:type="paragraph" w:styleId="683">
    <w:name w:val="标题 5"/>
    <w:basedOn w:val="678"/>
    <w:next w:val="678"/>
    <w:link w:val="689"/>
    <w:uiPriority w:val="9"/>
    <w:qFormat/>
    <w:pPr>
      <w:keepLines/>
      <w:keepNext/>
      <w:spacing w:before="280" w:after="290" w:line="376" w:lineRule="auto"/>
      <w:outlineLvl w:val="4"/>
    </w:pPr>
    <w:rPr>
      <w:b/>
      <w:bCs/>
      <w:sz w:val="28"/>
      <w:szCs w:val="28"/>
    </w:rPr>
  </w:style>
  <w:style w:type="character" w:styleId="684">
    <w:name w:val="默认段落字体"/>
    <w:next w:val="684"/>
    <w:link w:val="678"/>
    <w:semiHidden/>
  </w:style>
  <w:style w:type="table" w:styleId="685">
    <w:name w:val="普通表格"/>
    <w:next w:val="685"/>
    <w:link w:val="678"/>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86">
    <w:name w:val="正文缩进"/>
    <w:basedOn w:val="678"/>
    <w:next w:val="686"/>
    <w:link w:val="687"/>
    <w:pPr>
      <w:ind w:firstLine="420"/>
    </w:pPr>
    <w:rPr>
      <w:szCs w:val="20"/>
    </w:rPr>
  </w:style>
  <w:style w:type="character" w:styleId="687">
    <w:name w:val="正文缩进 Char"/>
    <w:next w:val="687"/>
    <w:link w:val="686"/>
    <w:rPr>
      <w:sz w:val="21"/>
    </w:rPr>
  </w:style>
  <w:style w:type="character" w:styleId="688">
    <w:name w:val="标题 4 Char"/>
    <w:next w:val="688"/>
    <w:link w:val="682"/>
    <w:uiPriority w:val="9"/>
    <w:rPr>
      <w:rFonts w:ascii="Cambria" w:hAnsi="Cambria"/>
      <w:b/>
      <w:bCs/>
      <w:sz w:val="28"/>
      <w:szCs w:val="28"/>
    </w:rPr>
  </w:style>
  <w:style w:type="character" w:styleId="689">
    <w:name w:val="标题 5 Char"/>
    <w:next w:val="689"/>
    <w:link w:val="683"/>
    <w:uiPriority w:val="9"/>
    <w:rPr>
      <w:b/>
      <w:bCs/>
      <w:sz w:val="28"/>
      <w:szCs w:val="28"/>
    </w:rPr>
  </w:style>
  <w:style w:type="paragraph" w:styleId="690">
    <w:name w:val="题注"/>
    <w:basedOn w:val="678"/>
    <w:next w:val="678"/>
    <w:link w:val="678"/>
    <w:uiPriority w:val="35"/>
    <w:qFormat/>
    <w:pPr>
      <w:jc w:val="center"/>
      <w:spacing w:before="156" w:after="156" w:line="360" w:lineRule="auto"/>
    </w:pPr>
    <w:rPr>
      <w:rFonts w:ascii="Arial" w:hAnsi="Arial" w:cs="Arial"/>
      <w:sz w:val="24"/>
      <w:szCs w:val="20"/>
    </w:rPr>
  </w:style>
  <w:style w:type="paragraph" w:styleId="691">
    <w:name w:val="文档结构图"/>
    <w:basedOn w:val="678"/>
    <w:next w:val="691"/>
    <w:link w:val="678"/>
    <w:semiHidden/>
    <w:pPr>
      <w:shd w:val="clear" w:color="auto" w:fill="000080"/>
    </w:pPr>
  </w:style>
  <w:style w:type="paragraph" w:styleId="692">
    <w:name w:val="批注文字"/>
    <w:basedOn w:val="678"/>
    <w:next w:val="692"/>
    <w:link w:val="693"/>
    <w:uiPriority w:val="99"/>
    <w:unhideWhenUsed/>
    <w:pPr>
      <w:jc w:val="left"/>
    </w:pPr>
  </w:style>
  <w:style w:type="character" w:styleId="693">
    <w:name w:val="批注文字 Char"/>
    <w:next w:val="693"/>
    <w:link w:val="692"/>
    <w:uiPriority w:val="99"/>
    <w:rPr>
      <w:sz w:val="21"/>
      <w:szCs w:val="24"/>
    </w:rPr>
  </w:style>
  <w:style w:type="paragraph" w:styleId="694">
    <w:name w:val="正文文本 3"/>
    <w:basedOn w:val="678"/>
    <w:next w:val="694"/>
    <w:link w:val="678"/>
    <w:rPr>
      <w:rFonts w:ascii="楷体_GB2312" w:hAnsi="Arial" w:eastAsia="楷体_GB2312" w:cs="Arial"/>
      <w:b/>
      <w:bCs/>
      <w:color w:val="000000"/>
      <w:sz w:val="24"/>
    </w:rPr>
  </w:style>
  <w:style w:type="paragraph" w:styleId="695">
    <w:name w:val="正文文本"/>
    <w:basedOn w:val="678"/>
    <w:next w:val="695"/>
    <w:link w:val="678"/>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6">
    <w:name w:val="正文文本缩进"/>
    <w:basedOn w:val="678"/>
    <w:next w:val="696"/>
    <w:link w:val="678"/>
    <w:pPr>
      <w:ind w:firstLine="630"/>
    </w:pPr>
    <w:rPr>
      <w:rFonts w:ascii="楷体_GB2312" w:eastAsia="楷体_GB2312"/>
      <w:sz w:val="32"/>
      <w:szCs w:val="20"/>
    </w:rPr>
  </w:style>
  <w:style w:type="paragraph" w:styleId="697">
    <w:name w:val="文本块"/>
    <w:basedOn w:val="678"/>
    <w:next w:val="697"/>
    <w:link w:val="678"/>
    <w:pPr>
      <w:ind w:left="420" w:right="33"/>
      <w:jc w:val="left"/>
    </w:pPr>
    <w:rPr>
      <w:sz w:val="24"/>
      <w:szCs w:val="20"/>
    </w:rPr>
  </w:style>
  <w:style w:type="paragraph" w:styleId="698">
    <w:name w:val="目录 3"/>
    <w:basedOn w:val="678"/>
    <w:next w:val="678"/>
    <w:link w:val="678"/>
    <w:semiHidden/>
    <w:pPr>
      <w:ind w:left="840"/>
      <w:spacing w:line="300" w:lineRule="auto"/>
      <w:tabs>
        <w:tab w:val="right" w:pos="9344" w:leader="dot"/>
      </w:tabs>
    </w:pPr>
    <w:rPr>
      <w:rFonts w:ascii="Arial" w:hAnsi="Arial" w:cs="Arial"/>
      <w:szCs w:val="21"/>
    </w:rPr>
  </w:style>
  <w:style w:type="paragraph" w:styleId="699">
    <w:name w:val="纯文本"/>
    <w:basedOn w:val="678"/>
    <w:next w:val="699"/>
    <w:link w:val="700"/>
    <w:rPr>
      <w:rFonts w:ascii="宋体" w:hAnsi="Courier New"/>
      <w:szCs w:val="20"/>
    </w:rPr>
  </w:style>
  <w:style w:type="character" w:styleId="700">
    <w:name w:val="纯文本 Char"/>
    <w:next w:val="700"/>
    <w:link w:val="699"/>
    <w:rPr>
      <w:rFonts w:ascii="宋体" w:hAnsi="Courier New" w:eastAsia="宋体"/>
      <w:sz w:val="21"/>
      <w:lang w:val="en-US" w:eastAsia="zh-CN" w:bidi="ar-SA"/>
    </w:rPr>
  </w:style>
  <w:style w:type="paragraph" w:styleId="701">
    <w:name w:val="正文文本缩进 2"/>
    <w:basedOn w:val="678"/>
    <w:next w:val="701"/>
    <w:link w:val="678"/>
    <w:pPr>
      <w:ind w:left="420"/>
      <w:spacing w:after="120" w:line="480" w:lineRule="auto"/>
    </w:pPr>
  </w:style>
  <w:style w:type="paragraph" w:styleId="702">
    <w:name w:val="批注框文本"/>
    <w:basedOn w:val="678"/>
    <w:next w:val="702"/>
    <w:link w:val="703"/>
    <w:rPr>
      <w:sz w:val="18"/>
      <w:szCs w:val="18"/>
    </w:rPr>
  </w:style>
  <w:style w:type="character" w:styleId="703">
    <w:name w:val="批注框文本 Char"/>
    <w:next w:val="703"/>
    <w:link w:val="702"/>
    <w:rPr>
      <w:sz w:val="18"/>
      <w:szCs w:val="18"/>
    </w:rPr>
  </w:style>
  <w:style w:type="paragraph" w:styleId="704">
    <w:name w:val="页脚"/>
    <w:basedOn w:val="678"/>
    <w:next w:val="704"/>
    <w:link w:val="705"/>
    <w:pPr>
      <w:jc w:val="left"/>
      <w:tabs>
        <w:tab w:val="center" w:pos="4153" w:leader="none"/>
        <w:tab w:val="right" w:pos="8306" w:leader="none"/>
      </w:tabs>
    </w:pPr>
    <w:rPr>
      <w:sz w:val="18"/>
      <w:szCs w:val="18"/>
    </w:rPr>
  </w:style>
  <w:style w:type="character" w:styleId="705">
    <w:name w:val="页脚 Char"/>
    <w:next w:val="705"/>
    <w:link w:val="704"/>
    <w:rPr>
      <w:sz w:val="18"/>
      <w:szCs w:val="18"/>
    </w:rPr>
  </w:style>
  <w:style w:type="paragraph" w:styleId="706">
    <w:name w:val="页眉"/>
    <w:basedOn w:val="678"/>
    <w:next w:val="706"/>
    <w:link w:val="707"/>
    <w:pPr>
      <w:jc w:val="center"/>
      <w:tabs>
        <w:tab w:val="center" w:pos="4153" w:leader="none"/>
        <w:tab w:val="right" w:pos="8306" w:leader="none"/>
      </w:tabs>
      <w:pBdr>
        <w:bottom w:val="single" w:color="000000" w:sz="6" w:space="1"/>
      </w:pBdr>
    </w:pPr>
    <w:rPr>
      <w:sz w:val="18"/>
      <w:szCs w:val="18"/>
    </w:rPr>
  </w:style>
  <w:style w:type="character" w:styleId="707">
    <w:name w:val="页眉 Char"/>
    <w:next w:val="707"/>
    <w:link w:val="706"/>
    <w:rPr>
      <w:sz w:val="18"/>
      <w:szCs w:val="18"/>
    </w:rPr>
  </w:style>
  <w:style w:type="paragraph" w:styleId="708">
    <w:name w:val="目录 1"/>
    <w:basedOn w:val="678"/>
    <w:next w:val="678"/>
    <w:link w:val="678"/>
    <w:semiHidden/>
  </w:style>
  <w:style w:type="paragraph" w:styleId="709">
    <w:name w:val="正文文本缩进 3"/>
    <w:basedOn w:val="678"/>
    <w:next w:val="709"/>
    <w:link w:val="678"/>
    <w:uiPriority w:val="99"/>
    <w:pPr>
      <w:ind w:firstLine="420"/>
    </w:pPr>
    <w:rPr>
      <w:rFonts w:eastAsia="楷体_GB2312"/>
    </w:rPr>
  </w:style>
  <w:style w:type="paragraph" w:styleId="710">
    <w:name w:val="目录 2"/>
    <w:basedOn w:val="678"/>
    <w:next w:val="678"/>
    <w:link w:val="678"/>
    <w:semiHidden/>
    <w:pPr>
      <w:ind w:left="420"/>
    </w:pPr>
    <w:rPr>
      <w:szCs w:val="20"/>
    </w:rPr>
  </w:style>
  <w:style w:type="paragraph" w:styleId="711">
    <w:name w:val="正文文本 2"/>
    <w:basedOn w:val="678"/>
    <w:next w:val="711"/>
    <w:link w:val="712"/>
    <w:pPr>
      <w:spacing w:line="440" w:lineRule="exact"/>
    </w:pPr>
    <w:rPr>
      <w:rFonts w:ascii="楷体_GB2312" w:eastAsia="楷体_GB2312"/>
      <w:sz w:val="28"/>
    </w:rPr>
  </w:style>
  <w:style w:type="character" w:styleId="712">
    <w:name w:val="正文文本 2 Char"/>
    <w:next w:val="712"/>
    <w:link w:val="711"/>
    <w:rPr>
      <w:rFonts w:ascii="楷体_GB2312" w:eastAsia="楷体_GB2312"/>
      <w:sz w:val="28"/>
      <w:szCs w:val="24"/>
    </w:rPr>
  </w:style>
  <w:style w:type="paragraph" w:styleId="713">
    <w:name w:val="批注主题"/>
    <w:basedOn w:val="692"/>
    <w:next w:val="692"/>
    <w:link w:val="714"/>
    <w:rPr>
      <w:b/>
      <w:bCs/>
    </w:rPr>
  </w:style>
  <w:style w:type="character" w:styleId="714">
    <w:name w:val="批注主题 Char"/>
    <w:next w:val="714"/>
    <w:link w:val="713"/>
    <w:rPr>
      <w:b/>
      <w:bCs/>
      <w:sz w:val="21"/>
      <w:szCs w:val="24"/>
    </w:rPr>
  </w:style>
  <w:style w:type="paragraph" w:styleId="715">
    <w:name w:val="正文首行缩进 2"/>
    <w:basedOn w:val="696"/>
    <w:next w:val="715"/>
    <w:link w:val="678"/>
    <w:pPr>
      <w:ind w:left="420" w:firstLine="420"/>
      <w:spacing w:after="120"/>
      <w:widowControl/>
    </w:pPr>
    <w:rPr>
      <w:rFonts w:ascii="仿宋_GB2312" w:eastAsia="仿宋_GB2312"/>
      <w:color w:val="ff6600"/>
      <w:sz w:val="21"/>
    </w:rPr>
  </w:style>
  <w:style w:type="table" w:styleId="716">
    <w:name w:val="网格型"/>
    <w:basedOn w:val="685"/>
    <w:next w:val="716"/>
    <w:link w:val="678"/>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17">
    <w:name w:val="要点"/>
    <w:next w:val="717"/>
    <w:link w:val="678"/>
    <w:qFormat/>
    <w:rPr>
      <w:b w:val="0"/>
      <w:i w:val="0"/>
    </w:rPr>
  </w:style>
  <w:style w:type="character" w:styleId="718">
    <w:name w:val="页码"/>
    <w:next w:val="718"/>
    <w:link w:val="678"/>
  </w:style>
  <w:style w:type="character" w:styleId="719">
    <w:name w:val="已访问的超链接"/>
    <w:next w:val="719"/>
    <w:link w:val="678"/>
    <w:rPr>
      <w:color w:val="800080"/>
      <w:u w:val="none"/>
    </w:rPr>
  </w:style>
  <w:style w:type="character" w:styleId="720">
    <w:name w:val="强调"/>
    <w:next w:val="720"/>
    <w:link w:val="678"/>
    <w:qFormat/>
    <w:rPr>
      <w:b w:val="0"/>
      <w:i w:val="0"/>
    </w:rPr>
  </w:style>
  <w:style w:type="character" w:styleId="721">
    <w:name w:val="HTML 定义"/>
    <w:next w:val="721"/>
    <w:link w:val="678"/>
    <w:rPr>
      <w:b w:val="0"/>
      <w:i w:val="0"/>
    </w:rPr>
  </w:style>
  <w:style w:type="character" w:styleId="722">
    <w:name w:val="HTML 打字机"/>
    <w:next w:val="722"/>
    <w:link w:val="678"/>
    <w:rPr>
      <w:rFonts w:ascii="monospace" w:hAnsi="monospace" w:eastAsia="monospace" w:cs="monospace"/>
      <w:sz w:val="20"/>
    </w:rPr>
  </w:style>
  <w:style w:type="character" w:styleId="723">
    <w:name w:val="HTML 缩写"/>
    <w:next w:val="723"/>
    <w:link w:val="678"/>
  </w:style>
  <w:style w:type="character" w:styleId="724">
    <w:name w:val="HTML 变量"/>
    <w:next w:val="724"/>
    <w:link w:val="678"/>
    <w:rPr>
      <w:b w:val="0"/>
      <w:i w:val="0"/>
    </w:rPr>
  </w:style>
  <w:style w:type="character" w:styleId="725">
    <w:name w:val="超链接"/>
    <w:next w:val="725"/>
    <w:link w:val="678"/>
    <w:rPr>
      <w:color w:val="0000ff"/>
      <w:u w:val="none"/>
    </w:rPr>
  </w:style>
  <w:style w:type="character" w:styleId="726">
    <w:name w:val="HTML 代码"/>
    <w:next w:val="726"/>
    <w:link w:val="678"/>
    <w:rPr>
      <w:rFonts w:ascii="monospace" w:hAnsi="monospace" w:eastAsia="monospace" w:cs="monospace"/>
      <w:b w:val="0"/>
      <w:i w:val="0"/>
      <w:sz w:val="20"/>
    </w:rPr>
  </w:style>
  <w:style w:type="character" w:styleId="727">
    <w:name w:val="批注引用"/>
    <w:next w:val="727"/>
    <w:link w:val="678"/>
    <w:rPr>
      <w:sz w:val="21"/>
      <w:szCs w:val="21"/>
    </w:rPr>
  </w:style>
  <w:style w:type="character" w:styleId="728">
    <w:name w:val="HTML 引文"/>
    <w:next w:val="728"/>
    <w:link w:val="678"/>
    <w:rPr>
      <w:b w:val="0"/>
      <w:i w:val="0"/>
    </w:rPr>
  </w:style>
  <w:style w:type="character" w:styleId="729">
    <w:name w:val="HTML 键盘"/>
    <w:next w:val="729"/>
    <w:link w:val="678"/>
    <w:rPr>
      <w:rFonts w:ascii="monospace" w:hAnsi="monospace" w:eastAsia="monospace" w:cs="monospace"/>
      <w:sz w:val="20"/>
    </w:rPr>
  </w:style>
  <w:style w:type="character" w:styleId="730">
    <w:name w:val="HTML 样本"/>
    <w:next w:val="730"/>
    <w:link w:val="678"/>
    <w:rPr>
      <w:rFonts w:ascii="monospace" w:hAnsi="monospace" w:eastAsia="monospace" w:cs="monospace"/>
    </w:rPr>
  </w:style>
  <w:style w:type="character" w:styleId="731">
    <w:name w:val="Font Style30"/>
    <w:next w:val="731"/>
    <w:link w:val="678"/>
    <w:rPr>
      <w:rFonts w:ascii="宋体" w:eastAsia="宋体" w:cs="宋体"/>
      <w:sz w:val="14"/>
      <w:szCs w:val="14"/>
    </w:rPr>
  </w:style>
  <w:style w:type="character" w:styleId="732">
    <w:name w:val="glyphicon"/>
    <w:next w:val="732"/>
    <w:link w:val="678"/>
  </w:style>
  <w:style w:type="character" w:styleId="733">
    <w:name w:val="Font Style36"/>
    <w:next w:val="733"/>
    <w:link w:val="678"/>
    <w:rPr>
      <w:rFonts w:ascii="宋体" w:eastAsia="宋体" w:cs="宋体"/>
      <w:sz w:val="16"/>
      <w:szCs w:val="16"/>
    </w:rPr>
  </w:style>
  <w:style w:type="character" w:styleId="734">
    <w:name w:val="hour_am"/>
    <w:next w:val="734"/>
    <w:link w:val="678"/>
  </w:style>
  <w:style w:type="character" w:styleId="735">
    <w:name w:val="old"/>
    <w:next w:val="735"/>
    <w:link w:val="678"/>
    <w:rPr>
      <w:color w:val="999999"/>
    </w:rPr>
  </w:style>
  <w:style w:type="character" w:styleId="736">
    <w:name w:val="标题 2 Char,节 Char,Heading 2 Hidden Char,Heading 2 CCBS Char,H2 Char,sect 1.2 Char,H21 Char,sect 1.21 Char,H22 Char,sect 1.22 Char,H211 Char,sect 1.211 Char,H23 Char,sect 1.23 Char,H212 Char,sect 1.212 Char,2nd level Char,h2 Char,2 Char,Header 2 Char"/>
    <w:next w:val="736"/>
    <w:link w:val="678"/>
    <w:rPr>
      <w:rFonts w:ascii="Arial" w:hAnsi="Arial" w:eastAsia="黑体"/>
      <w:b/>
      <w:sz w:val="32"/>
      <w:lang w:val="en-US" w:eastAsia="zh-CN"/>
    </w:rPr>
  </w:style>
  <w:style w:type="character" w:styleId="737">
    <w:name w:val="hover"/>
    <w:next w:val="737"/>
    <w:link w:val="678"/>
    <w:rPr>
      <w:shd w:val="clear" w:color="auto" w:fill="eeeeee"/>
    </w:rPr>
  </w:style>
  <w:style w:type="character" w:styleId="738">
    <w:name w:val="hour_pm"/>
    <w:next w:val="738"/>
    <w:link w:val="678"/>
  </w:style>
  <w:style w:type="character" w:styleId="739">
    <w:name w:val="Font Style28"/>
    <w:next w:val="739"/>
    <w:link w:val="678"/>
    <w:rPr>
      <w:rFonts w:ascii="Constantia" w:hAnsi="Constantia" w:cs="Constantia"/>
      <w:sz w:val="28"/>
      <w:szCs w:val="28"/>
    </w:rPr>
  </w:style>
  <w:style w:type="character" w:styleId="740">
    <w:name w:val="Font Style29"/>
    <w:next w:val="740"/>
    <w:link w:val="678"/>
    <w:rPr>
      <w:rFonts w:ascii="Arial" w:hAnsi="Arial" w:cs="Arial"/>
      <w:sz w:val="14"/>
      <w:szCs w:val="14"/>
    </w:rPr>
  </w:style>
  <w:style w:type="character" w:styleId="741">
    <w:name w:val="Font Style37"/>
    <w:next w:val="741"/>
    <w:link w:val="678"/>
    <w:rPr>
      <w:rFonts w:ascii="Arial" w:hAnsi="Arial" w:cs="Arial"/>
      <w:sz w:val="16"/>
      <w:szCs w:val="16"/>
    </w:rPr>
  </w:style>
  <w:style w:type="character" w:styleId="742">
    <w:name w:val="Plain Text Char"/>
    <w:next w:val="742"/>
    <w:link w:val="678"/>
    <w:rPr>
      <w:rFonts w:ascii="宋体" w:hAnsi="Courier New" w:eastAsia="宋体"/>
      <w:sz w:val="21"/>
      <w:lang w:val="en-US" w:eastAsia="zh-CN" w:bidi="ar-SA"/>
    </w:rPr>
  </w:style>
  <w:style w:type="paragraph" w:styleId="743">
    <w:name w:val="Default"/>
    <w:next w:val="743"/>
    <w:link w:val="678"/>
    <w:pPr>
      <w:widowControl w:val="off"/>
    </w:pPr>
    <w:rPr>
      <w:rFonts w:ascii="仿宋" w:eastAsia="仿宋" w:cs="仿宋"/>
      <w:color w:val="000000"/>
      <w:sz w:val="24"/>
      <w:szCs w:val="24"/>
      <w:lang w:val="en-US" w:eastAsia="zh-CN" w:bidi="ar-SA"/>
    </w:rPr>
  </w:style>
  <w:style w:type="paragraph" w:styleId="744">
    <w:name w:val="默认段落字体 Para Char Char Char Char Char Char Char Char Char1 Char Char Char Char Char Char Char"/>
    <w:basedOn w:val="691"/>
    <w:next w:val="744"/>
    <w:link w:val="678"/>
    <w:rPr>
      <w:rFonts w:ascii="Tahoma" w:hAnsi="Tahoma"/>
      <w:sz w:val="24"/>
    </w:rPr>
  </w:style>
  <w:style w:type="paragraph" w:styleId="745">
    <w:name w:val="Style9"/>
    <w:basedOn w:val="678"/>
    <w:next w:val="745"/>
    <w:link w:val="678"/>
    <w:pPr>
      <w:jc w:val="left"/>
    </w:pPr>
    <w:rPr>
      <w:rFonts w:ascii="宋体"/>
      <w:sz w:val="24"/>
    </w:rPr>
  </w:style>
  <w:style w:type="paragraph" w:styleId="746">
    <w:name w:val="Char"/>
    <w:basedOn w:val="678"/>
    <w:next w:val="746"/>
    <w:link w:val="678"/>
    <w:pPr>
      <w:tabs>
        <w:tab w:val="left" w:pos="360" w:leader="none"/>
      </w:tabs>
    </w:pPr>
    <w:rPr>
      <w:sz w:val="24"/>
    </w:rPr>
  </w:style>
  <w:style w:type="paragraph" w:styleId="747">
    <w:name w:val=" Char Char Char1 Char Char Char Char"/>
    <w:basedOn w:val="678"/>
    <w:next w:val="747"/>
    <w:link w:val="678"/>
    <w:pPr>
      <w:jc w:val="left"/>
      <w:spacing w:after="160" w:line="240" w:lineRule="exact"/>
      <w:widowControl/>
    </w:pPr>
    <w:rPr>
      <w:rFonts w:ascii="宋体" w:hAnsi="宋体"/>
      <w:b/>
      <w:sz w:val="28"/>
      <w:szCs w:val="28"/>
    </w:rPr>
  </w:style>
  <w:style w:type="paragraph" w:styleId="748">
    <w:name w:val="Style10"/>
    <w:basedOn w:val="678"/>
    <w:next w:val="748"/>
    <w:link w:val="678"/>
    <w:pPr>
      <w:jc w:val="left"/>
    </w:pPr>
    <w:rPr>
      <w:rFonts w:ascii="宋体"/>
      <w:sz w:val="24"/>
    </w:rPr>
  </w:style>
  <w:style w:type="paragraph" w:styleId="749">
    <w:name w:val="首行缩进"/>
    <w:basedOn w:val="678"/>
    <w:next w:val="749"/>
    <w:link w:val="678"/>
    <w:qFormat/>
    <w:pPr>
      <w:ind w:firstLine="420"/>
      <w:spacing w:line="360" w:lineRule="auto"/>
    </w:pPr>
    <w:rPr>
      <w:sz w:val="20"/>
    </w:rPr>
  </w:style>
  <w:style w:type="paragraph" w:styleId="750">
    <w:name w:val="普通正文"/>
    <w:basedOn w:val="678"/>
    <w:next w:val="750"/>
    <w:link w:val="678"/>
    <w:pPr>
      <w:ind w:firstLine="480"/>
      <w:jc w:val="left"/>
      <w:spacing w:before="120" w:after="120" w:line="360" w:lineRule="auto"/>
    </w:pPr>
    <w:rPr>
      <w:rFonts w:ascii="Arial" w:hAnsi="Arial"/>
      <w:sz w:val="24"/>
    </w:rPr>
  </w:style>
  <w:style w:type="paragraph" w:styleId="751">
    <w:name w:val="要点标题"/>
    <w:basedOn w:val="678"/>
    <w:next w:val="751"/>
    <w:link w:val="678"/>
    <w:pPr>
      <w:numPr>
        <w:ilvl w:val="0"/>
        <w:numId w:val="1"/>
      </w:numPr>
      <w:jc w:val="left"/>
      <w:tabs>
        <w:tab w:val="left" w:pos="420" w:leader="none"/>
      </w:tabs>
    </w:pPr>
    <w:rPr>
      <w:rFonts w:ascii="宋体" w:hAnsi="宋体"/>
      <w:b/>
      <w:sz w:val="24"/>
    </w:rPr>
  </w:style>
  <w:style w:type="paragraph" w:styleId="752">
    <w:name w:val="文档正文"/>
    <w:basedOn w:val="678"/>
    <w:next w:val="752"/>
    <w:link w:val="678"/>
    <w:pPr>
      <w:ind w:firstLine="567"/>
      <w:spacing w:line="480" w:lineRule="atLeast"/>
    </w:pPr>
    <w:rPr>
      <w:rFonts w:ascii="仿宋_GB2312"/>
      <w:szCs w:val="20"/>
    </w:rPr>
  </w:style>
  <w:style w:type="paragraph" w:styleId="753">
    <w:name w:val="Char Char Char Char"/>
    <w:basedOn w:val="691"/>
    <w:next w:val="753"/>
    <w:link w:val="678"/>
    <w:pPr>
      <w:spacing w:line="360" w:lineRule="auto"/>
    </w:pPr>
    <w:rPr>
      <w:rFonts w:ascii="Tahoma" w:hAnsi="Tahoma"/>
      <w:sz w:val="24"/>
    </w:rPr>
  </w:style>
  <w:style w:type="paragraph" w:styleId="754">
    <w:name w:val=" Char"/>
    <w:basedOn w:val="678"/>
    <w:next w:val="754"/>
    <w:link w:val="678"/>
    <w:pPr>
      <w:ind w:left="420" w:hanging="420"/>
      <w:jc w:val="left"/>
      <w:tabs>
        <w:tab w:val="left" w:pos="420" w:leader="none"/>
      </w:tabs>
    </w:pPr>
    <w:rPr>
      <w:szCs w:val="20"/>
    </w:rPr>
  </w:style>
  <w:style w:type="paragraph" w:styleId="755">
    <w:name w:val="正文（无缩进）"/>
    <w:basedOn w:val="678"/>
    <w:next w:val="755"/>
    <w:link w:val="678"/>
    <w:qFormat/>
    <w:pPr>
      <w:spacing w:line="360" w:lineRule="auto"/>
    </w:pPr>
    <w:rPr>
      <w:rFonts w:ascii="Calibri" w:hAnsi="Calibri"/>
      <w:sz w:val="24"/>
      <w:szCs w:val="21"/>
    </w:rPr>
  </w:style>
  <w:style w:type="paragraph" w:styleId="756">
    <w:name w:val="Style11"/>
    <w:basedOn w:val="678"/>
    <w:next w:val="756"/>
    <w:link w:val="678"/>
    <w:pPr>
      <w:jc w:val="left"/>
      <w:spacing w:line="446" w:lineRule="exact"/>
    </w:pPr>
    <w:rPr>
      <w:rFonts w:ascii="宋体"/>
      <w:sz w:val="24"/>
    </w:rPr>
  </w:style>
  <w:style w:type="paragraph" w:styleId="757">
    <w:name w:val="样式1"/>
    <w:basedOn w:val="678"/>
    <w:next w:val="757"/>
    <w:link w:val="678"/>
    <w:pPr>
      <w:numPr>
        <w:ilvl w:val="0"/>
        <w:numId w:val="2"/>
      </w:numPr>
      <w:tabs>
        <w:tab w:val="left" w:pos="1110" w:leader="none"/>
      </w:tabs>
    </w:pPr>
    <w:rPr>
      <w:rFonts w:ascii="宋体" w:hAnsi="宋体"/>
      <w:szCs w:val="21"/>
    </w:rPr>
  </w:style>
  <w:style w:type="paragraph" w:styleId="758">
    <w:name w:val="_Style 56"/>
    <w:basedOn w:val="691"/>
    <w:next w:val="758"/>
    <w:link w:val="678"/>
    <w:pPr>
      <w:spacing w:line="436" w:lineRule="exact"/>
    </w:pPr>
    <w:rPr>
      <w:szCs w:val="20"/>
    </w:rPr>
  </w:style>
  <w:style w:type="paragraph" w:styleId="759">
    <w:name w:val="Char Char1 Char Char Char Char Char Char"/>
    <w:basedOn w:val="678"/>
    <w:next w:val="759"/>
    <w:link w:val="678"/>
    <w:pPr>
      <w:jc w:val="center"/>
      <w:widowControl/>
    </w:pPr>
    <w:rPr>
      <w:rFonts w:ascii="宋体" w:hAnsi="宋体"/>
      <w:b/>
      <w:sz w:val="24"/>
      <w:lang w:eastAsia="en-US"/>
    </w:rPr>
  </w:style>
  <w:style w:type="paragraph" w:styleId="760">
    <w:name w:val="Char1"/>
    <w:basedOn w:val="678"/>
    <w:next w:val="760"/>
    <w:link w:val="678"/>
    <w:pPr>
      <w:ind w:left="840" w:hanging="420"/>
      <w:tabs>
        <w:tab w:val="left" w:pos="840" w:leader="none"/>
      </w:tabs>
    </w:pPr>
    <w:rPr>
      <w:sz w:val="24"/>
    </w:rPr>
  </w:style>
  <w:style w:type="paragraph" w:styleId="761">
    <w:name w:val="我的样式"/>
    <w:basedOn w:val="679"/>
    <w:next w:val="678"/>
    <w:link w:val="678"/>
    <w:pPr>
      <w:numPr>
        <w:ilvl w:val="0"/>
        <w:numId w:val="3"/>
      </w:numPr>
      <w:spacing w:line="360" w:lineRule="auto"/>
    </w:pPr>
    <w:rPr>
      <w:rFonts w:ascii="仿宋_GB2312" w:eastAsia="仿宋_GB2312"/>
      <w:sz w:val="32"/>
      <w:szCs w:val="30"/>
    </w:rPr>
  </w:style>
  <w:style w:type="paragraph" w:styleId="762">
    <w:name w:val="表格正文"/>
    <w:next w:val="762"/>
    <w:link w:val="678"/>
    <w:pPr>
      <w:spacing w:line="0" w:lineRule="atLeast"/>
    </w:pPr>
    <w:rPr>
      <w:sz w:val="24"/>
      <w:szCs w:val="24"/>
      <w:lang w:val="en-US" w:eastAsia="zh-CN" w:bidi="he-IL"/>
    </w:rPr>
  </w:style>
  <w:style w:type="paragraph" w:styleId="763">
    <w:name w:val=" Char Char Char Char Char Char Char Char Char Char Char Char Char"/>
    <w:basedOn w:val="678"/>
    <w:next w:val="763"/>
    <w:link w:val="678"/>
    <w:pPr>
      <w:jc w:val="left"/>
      <w:spacing w:after="160" w:line="240" w:lineRule="exact"/>
      <w:widowControl/>
    </w:pPr>
    <w:rPr>
      <w:rFonts w:ascii="Verdana" w:hAnsi="Verdana"/>
      <w:sz w:val="20"/>
      <w:szCs w:val="20"/>
      <w:lang w:eastAsia="en-US"/>
    </w:rPr>
  </w:style>
  <w:style w:type="paragraph" w:styleId="764">
    <w:name w:val="标题1"/>
    <w:basedOn w:val="679"/>
    <w:next w:val="678"/>
    <w:link w:val="678"/>
    <w:pPr>
      <w:numPr>
        <w:ilvl w:val="0"/>
        <w:numId w:val="2"/>
      </w:numPr>
      <w:jc w:val="left"/>
      <w:spacing w:line="578" w:lineRule="atLeast"/>
    </w:pPr>
  </w:style>
  <w:style w:type="paragraph" w:styleId="765">
    <w:name w:val="正文（缩进） Char1"/>
    <w:basedOn w:val="678"/>
    <w:next w:val="765"/>
    <w:link w:val="678"/>
    <w:pPr>
      <w:ind w:firstLine="480"/>
      <w:spacing w:before="156" w:after="156" w:line="360" w:lineRule="auto"/>
    </w:pPr>
    <w:rPr>
      <w:sz w:val="24"/>
    </w:rPr>
  </w:style>
  <w:style w:type="paragraph" w:styleId="766">
    <w:name w:val="修订"/>
    <w:next w:val="766"/>
    <w:link w:val="678"/>
    <w:uiPriority w:val="99"/>
    <w:semiHidden/>
    <w:rPr>
      <w:sz w:val="21"/>
      <w:szCs w:val="24"/>
      <w:lang w:val="en-US" w:eastAsia="zh-CN" w:bidi="ar-SA"/>
    </w:rPr>
  </w:style>
  <w:style w:type="paragraph" w:styleId="767">
    <w:name w:val="Style12"/>
    <w:basedOn w:val="678"/>
    <w:next w:val="767"/>
    <w:link w:val="678"/>
    <w:pPr>
      <w:jc w:val="left"/>
    </w:pPr>
    <w:rPr>
      <w:rFonts w:ascii="宋体"/>
      <w:sz w:val="24"/>
    </w:rPr>
  </w:style>
  <w:style w:type="paragraph" w:styleId="768">
    <w:name w:val="纯文本1"/>
    <w:basedOn w:val="678"/>
    <w:next w:val="768"/>
    <w:link w:val="678"/>
    <w:rPr>
      <w:rFonts w:ascii="宋体" w:hAnsi="Courier New"/>
      <w:szCs w:val="20"/>
    </w:rPr>
  </w:style>
  <w:style w:type="character" w:styleId="10548" w:default="1">
    <w:name w:val="Default Paragraph Font"/>
    <w:uiPriority w:val="1"/>
    <w:semiHidden/>
    <w:unhideWhenUsed/>
  </w:style>
  <w:style w:type="numbering" w:styleId="10549" w:default="1">
    <w:name w:val="No List"/>
    <w:uiPriority w:val="99"/>
    <w:semiHidden/>
    <w:unhideWhenUsed/>
  </w:style>
  <w:style w:type="table" w:styleId="105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刘乃源</cp:lastModifiedBy>
  <cp:revision>3</cp:revision>
  <dcterms:created xsi:type="dcterms:W3CDTF">2024-01-08T08:47:00Z</dcterms:created>
  <dcterms:modified xsi:type="dcterms:W3CDTF">2026-05-11T02:32:12Z</dcterms:modified>
</cp:coreProperties>
</file>